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Poznanie opcji oprogramowania maszyny przy pomocy mapp CodeBox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Programowanie wariantów w języku drabinkowym z modułami oprogramowania</w:t>
      </w:r>
    </w:p>
    <w:p>
      <w:pPr>
        <w:pStyle w:val="par-first"/>
        <w:ind w:left="0"/>
        <w:jc w:val="left"/>
      </w:pPr>
      <w:r>
        <w:rPr>
          <w:i/>
          <w:i/>
        </w:rPr>
        <w:t xml:space="preserve">Producenci OEM mają teraz możliwość łatwiejszego zarządzania wieloma wariantami swoich maszyn. Dzięki mapp CodeBox mogą programować opcje w języku drabinkowym bez zmian w aplikacji podstawowej dla maszyny.</w:t>
      </w:r>
    </w:p>
    <w:p>
      <w:pPr>
        <w:pStyle w:val="par"/>
        <w:ind w:left="0"/>
      </w:pPr>
      <w:r>
        <w:rPr/>
        <w:t xml:space="preserve">Producenci OEM nadal korzystają ze środowiska programistycznego do programowania podstawowej funkcjonalności swoich maszyn. W trakcie procesu mogą określić do których danych, funkcji i zmiennych dostęp będzie uzyskiwany za pośrednictwem mapp CodeBox. Dzięki temu specjalne funkcje i opcje maszyn można dodać później w języku drabinkowym.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Łatwe zarządzanie opcjami</w:t>
      </w:r>
    </w:p>
    <w:p>
      <w:pPr>
        <w:pStyle w:val="par"/>
        <w:ind w:left="0"/>
      </w:pPr>
      <w:r>
        <w:rPr/>
        <w:t xml:space="preserve">Oddzielenie poszczególnych opcji oprogramowania od aplikacji podstawowej ma liczne zalety. Z jednej strony, dzięki temu, wraz z nowymi opcjami i adaptacją do potrzeb klienta do systemu, nie są wprowadzane błędy. Ponadto, znacznie ułatwia to zarządzanie różnymi wariantami maszyny.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Aplikacja HTML5</w:t>
      </w:r>
    </w:p>
    <w:p>
      <w:pPr>
        <w:pStyle w:val="par"/>
        <w:ind w:left="0"/>
      </w:pPr>
      <w:r>
        <w:rPr/>
        <w:t xml:space="preserve">mapp CodeBox to aplikacja HTML5, którą można uruchomić na dowolnym urządzeniu z przeglądarką. Wizualizacja przepływu energii wspomaga diagnostykę i serwis. Programy drabinkowe można zapisywać, poddawać kontroli wersji i przenosić na inne maszyny. W razie konieczności można je również zaimportować z powrotem do oryginalnego projektu automatyki.</w:t>
      </w:r>
    </w:p>
    <w:p/>
    <w:bookmarkStart w:id="6" w:name="_XREFN100C2"/>
    <w:bookmarkStart w:id="7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520000"/>
            <wp:effectExtent b="0" l="0" r="0" t="0"/>
            <wp:docPr id="1" name="machine-options-ladder-diagram-mapp-Code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chine-options-ladder-diagram-mapp-CodeBox"/>
                    <pic:cNvPicPr/>
                  </pic:nvPicPr>
                  <pic:blipFill>
                    <a:blip xmlns:r="http://schemas.openxmlformats.org/officeDocument/2006/relationships" cstate="print" r:embed="N103A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5" w:type="default"/>
      <w:footerReference xmlns:r="http://schemas.openxmlformats.org/officeDocument/2006/relationships" r:id="N104B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5" Target="header1.xml" Type="http://schemas.openxmlformats.org/officeDocument/2006/relationships/header"/><Relationship Id="N104B9" Target="footer1.xml" Type="http://schemas.openxmlformats.org/officeDocument/2006/relationships/footer"/><Relationship Id="N103AF" Target="media/N103A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C" Target="media/N1048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