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La validazione non è mai stata così semplice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Presentata a PHARMINTECH... </w:t>
      </w:r>
    </w:p>
    <w:p>
      <w:pPr>
        <w:pStyle w:val="par-first"/>
        <w:ind w:left="0"/>
        <w:jc w:val="left"/>
      </w:pPr>
      <w:r>
        <w:rPr>
          <w:i/>
          <w:i/>
        </w:rPr>
        <w:t xml:space="preserve">B&amp;R a Pharmintech ha proposto le soluzioni per l’automazione di macchine e linee in ambienti regolamentati, insieme alle ultime novità per il controllo di fabbrica e di processo per aziende di ogni dimensione.</w:t>
      </w:r>
    </w:p>
    <w:p>
      <w:pPr>
        <w:pStyle w:val="par"/>
        <w:ind w:left="0"/>
      </w:pPr>
      <w:r>
        <w:rPr/>
        <w:t xml:space="preserve">A Bologna B&amp;R ha presentato le soluzioni software per uno sviluppo agile ed efficiente di machine e impianti conformi alle normative.</w:t>
      </w:r>
    </w:p>
    <w:p>
      <w:pPr>
        <w:pStyle w:val="par"/>
        <w:ind w:left="0"/>
      </w:pPr>
      <w:r>
        <w:rPr/>
        <w:t xml:space="preserve">La visita nello stand arancio ha mostrato come, tramite una integrazione totale e nativa di ogni sensore e attuatore, inclusi robot e sistemi di visione, all’interno del sistema di automazione, portano a un incremento della qualità dei prodotti e del throughput; mentre interfacce uomo macchina ergonomiche e azionamenti, altamente scalabili, per applicazioni igieniche consentono di operare in modo efficiente e in sicurezza dalla singola macchina all’intero impianto.  </w:t>
      </w:r>
    </w:p>
    <w:p>
      <w:pPr>
        <w:pStyle w:val="par"/>
        <w:ind w:left="0"/>
      </w:pPr>
      <w:r>
        <w:rPr/>
        <w:t xml:space="preserve">In vetrina, inoltre, c'erano gli strumenti per il monitoraggio dei consumi energetici e delle condizioni di macchina per ottimizzare e abbattere i costi di produzione e di stabilimento; insieme a una diagnostica semplificata che, grazie a una manutenzione preventiva e alla comprensione dell’impianto permettono di massimizzare la disponibilità degli impianti. </w:t>
      </w:r>
    </w:p>
    <w:p/>
    <w:bookmarkStart w:id="6" w:name="_XREFN10125"/>
    <w:bookmarkStart w:id="7" w:name="_XREFN1012A"/>
    <w:p>
      <w:pPr>
        <w:spacing w:after="200" w:before="0"/>
        <w:ind w:left="0"/>
      </w:pPr>
      <w:r>
        <w:drawing>
          <wp:inline xmlns:wp="http://schemas.openxmlformats.org/drawingml/2006/wordprocessingDrawing" distB="0" distL="0" distR="0" distT="0">
            <wp:extent cx="3600000" cy="1842520"/>
            <wp:effectExtent b="0" l="0" r="0" t="0"/>
            <wp:docPr id="1" name="pi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2"/>
                    <pic:cNvPicPr/>
                  </pic:nvPicPr>
                  <pic:blipFill>
                    <a:blip xmlns:r="http://schemas.openxmlformats.org/officeDocument/2006/relationships" cstate="print" r:embed="N1038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4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"/>
    <w:bookmarkEnd w:id="6"/>
    <w:bookmarkStart w:id="8" w:name="_XREFN100CB"/>
    <w:bookmarkStart w:id="9" w:name="_XREFN100D0"/>
    <w:p>
      <w:pPr>
        <w:spacing w:after="200" w:before="0"/>
        <w:ind w:left="0"/>
      </w:pPr>
      <w:r>
        <w:drawing>
          <wp:inline xmlns:wp="http://schemas.openxmlformats.org/drawingml/2006/wordprocessingDrawing" distB="0" distL="0" distR="0" distT="0">
            <wp:extent cx="3600000" cy="2724975"/>
            <wp:effectExtent b="0" l="0" r="0" t="0"/>
            <wp:docPr id="2" name="pi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5"/>
                    <pic:cNvPicPr/>
                  </pic:nvPicPr>
                  <pic:blipFill>
                    <a:blip xmlns:r="http://schemas.openxmlformats.org/officeDocument/2006/relationships" cstate="print" r:embed="N103C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2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9"/>
    <w:bookmarkEnd w:id="8"/>
    <w:bookmarkStart w:id="10" w:name="_XREFN10124"/>
    <w:bookmarkStart w:id="11" w:name="_XREFN10129"/>
    <w:p>
      <w:pPr>
        <w:spacing w:after="200" w:before="0"/>
        <w:ind w:left="0"/>
      </w:pPr>
      <w:r>
        <w:drawing>
          <wp:inline xmlns:wp="http://schemas.openxmlformats.org/drawingml/2006/wordprocessingDrawing" distB="0" distL="0" distR="0" distT="0">
            <wp:extent cx="3600000" cy="4798833"/>
            <wp:effectExtent b="0" l="0" r="0" t="0"/>
            <wp:docPr id="3" name="pi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4"/>
                    <pic:cNvPicPr/>
                  </pic:nvPicPr>
                  <pic:blipFill>
                    <a:blip xmlns:r="http://schemas.openxmlformats.org/officeDocument/2006/relationships" cstate="print" r:embed="N1040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79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1"/>
    <w:bookmarkEnd w:id="10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A proposito di B&amp;R</w:t>
      </w:r>
    </w:p>
    <w:p>
      <w:pPr>
        <w:pStyle w:val="par"/>
        <w:ind w:left="0"/>
      </w:pPr>
      <w:r>
        <w:rPr>
          <w:sz w:val="16"/>
        </w:rPr>
        <w:t xml:space="preserve">B&amp;R, una divisione del Gruppo ABB, è leader globale nell'automazione industriale con sede in Austria. B&amp;R combina tecnologia all'avanguardia con ingegneria avanzata per fornire ai clienti, praticamente di ogni settore, soluzioni complete per l'automazione di macchine e fabbriche, controllo del movimento, HMI e tecnologia di sicurezza integrata. Con gli standard di comunicazione IoT industriale tra cui OPC UA, POWERLINK e openSAFETY, nonché il software Automation Studio, B&amp;R ridefinisce costantemente il futuro dell'ingegneria dell'automazione. Lo spirito innovativo che mantiene B&amp;R all'avanguardia nell'automazione industriale è guidato dall'impegno a semplificare i processi e a superare le aspettative dei clienti. </w:t>
      </w:r>
    </w:p>
    <w:p>
      <w:pPr>
        <w:pStyle w:val="par"/>
        <w:ind w:left="0"/>
      </w:pPr>
      <w:r>
        <w:rPr>
          <w:sz w:val="16"/>
        </w:rPr>
        <w:t xml:space="preserve">Per maggiori informazioni, visita www.br-automation.com</w:t>
      </w:r>
    </w:p>
    <w:sectPr>
      <w:headerReference xmlns:r="http://schemas.openxmlformats.org/officeDocument/2006/relationships" r:id="N10480" w:type="default"/>
      <w:footerReference xmlns:r="http://schemas.openxmlformats.org/officeDocument/2006/relationships" r:id="N10514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Contatto stampa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Pagina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Comunicato stampa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4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 2022"/>
                        <pic:cNvPicPr/>
                      </pic:nvPicPr>
                      <pic:blipFill>
                        <a:blip xmlns:r="http://schemas.openxmlformats.org/officeDocument/2006/relationships" cstate="print" r:embed="N104E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80" Target="header1.xml" Type="http://schemas.openxmlformats.org/officeDocument/2006/relationships/header"/><Relationship Id="N10514" Target="footer1.xml" Type="http://schemas.openxmlformats.org/officeDocument/2006/relationships/footer"/><Relationship Id="N10383" Target="media/N10383.jpg" Type="http://schemas.openxmlformats.org/officeDocument/2006/relationships/image"/><Relationship Id="N103C6" Target="media/N103C6.jpg" Type="http://schemas.openxmlformats.org/officeDocument/2006/relationships/image"/><Relationship Id="N10409" Target="media/N10409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E7" Target="media/N104E7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