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Interoperabilità, alla base dell’Industry 4.0</w:t>
      </w:r>
    </w:p>
    <w:p>
      <w:pPr>
        <w:pStyle w:val="label-first"/>
        <w:keepNext/>
        <w:ind w:left="0"/>
      </w:pPr>
      <w:r>
        <w:rPr>
          <w:b/>
          <w:sz w:val="20"/>
        </w:rPr>
        <w:t xml:space="preserve">La fabbrica intelligente </w:t>
      </w:r>
    </w:p>
    <w:p>
      <w:pPr>
        <w:pStyle w:val="par-first"/>
        <w:ind w:left="0"/>
        <w:jc w:val="left"/>
      </w:pPr>
      <w:r>
        <w:rPr>
          <w:i/>
          <w:i/>
        </w:rPr>
        <w:t xml:space="preserve">A SPS IPC Drives Italia 2016, COMAU, B&amp;R e DATALOGIC hanno mostrato i frutti delle competenze delle tre aziende e di una proficua collaborazione all’insegna dell’Industry 4.0.</w:t>
      </w:r>
    </w:p>
    <w:p>
      <w:pPr>
        <w:pStyle w:val="par"/>
        <w:ind w:left="0"/>
      </w:pPr>
      <w:r>
        <w:rPr/>
        <w:t xml:space="preserve">Grazie alla totale integrazione di tutte le parti dell’automazione e all’adozione di standard di comunicazione aperti, come POWERLINK, è possibile sfruttare le informazioni disponibili dai sempre più numerosi dispositivi intelligenti in campo. </w:t>
      </w:r>
      <w:r>
        <w:br w:type="textWrapping"/>
      </w:r>
      <w:r>
        <w:rPr/>
        <w:t xml:space="preserve">Parliamo di controlli, interfacce uomo macchina, I/O, attuatori e di quei dispositivi smart che stanno entrando a grandi passi nella catena di automazione periferica con l’obiettivo di offrire maggiore flessibilità e qualità in produzione, come i sistemi di visione e i robot. Tutte queste parti sono sistemi ciber-fisici, fonti di informazioni preziose per elaborare strategie di ottimizzazione della produzione e ottenere una vera fabbrica intelligente. </w:t>
      </w:r>
    </w:p>
    <w:p>
      <w:pPr>
        <w:pStyle w:val="label"/>
        <w:keepNext/>
        <w:ind w:left="0"/>
      </w:pPr>
      <w:r>
        <w:rPr>
          <w:b/>
          <w:sz w:val="20"/>
        </w:rPr>
        <w:t xml:space="preserve">Alcuni esempi in diversi padiglioni</w:t>
      </w:r>
    </w:p>
    <w:p>
      <w:pPr>
        <w:pStyle w:val="par"/>
        <w:ind w:left="0"/>
      </w:pPr>
      <w:r>
        <w:rPr/>
        <w:t xml:space="preserve">Nell’area Know-How 4.0 della fiera dedicata alle applicazioni nell'Industry 4.0, una cella robotizzata per la marcatura laser ha dimostrato come sia possibile integrare ogni componente in tempi record, realizzando una macchina articolata e intelligente. Macchina con cui il visitatore in fiera ha potuto interagire attraverso un Automation Panel B&amp;R e dove un robot Racer3 COMAU, governato da azionamenti ACOPOSmulti di B&amp;R, ha manipolato alcuni oggetti da personalizzare con il nome del visitatore, coordinandosi con una smart camera, con barriere di sicurezza e con il marcatore laser a fibra UniQ™ ALL-IN-ONE di DATALOGIC.</w:t>
      </w:r>
      <w:r>
        <w:br w:type="textWrapping"/>
      </w:r>
    </w:p>
    <w:p>
      <w:pPr>
        <w:pStyle w:val="label"/>
        <w:keepNext/>
        <w:ind w:left="0"/>
      </w:pPr>
      <w:r>
        <w:rPr>
          <w:b/>
          <w:sz w:val="20"/>
        </w:rPr>
        <w:t xml:space="preserve">Per settori industriali delicati</w:t>
      </w:r>
    </w:p>
    <w:p>
      <w:pPr>
        <w:pStyle w:val="par"/>
        <w:ind w:left="0"/>
      </w:pPr>
      <w:r>
        <w:rPr/>
        <w:t xml:space="preserve">All'interno dello stand DATALOGIC era disponibile una macchina dimostrativa dedicata ad ambienti regolamentati - come il farmaceutico - dove il robot COMAU operava guidato da telecamere e barriere ottiche DATALOGIC, controllato da azionamenti intelligenti B&amp;R, perfettamente coordinati e integrati attraverso POWERLINK. La macchina ispezionava e verificava in modo rapido e intelligente l’integrità del tappo e della guarnizione delle fiale movimentate all’interno della cella permettendo al visitatore di visualizzare in tempo reale l’esito del controllo di qualità dal pannello B&amp;R.</w:t>
      </w:r>
      <w:r>
        <w:br w:type="textWrapping"/>
      </w:r>
    </w:p>
    <w:p>
      <w:pPr>
        <w:pStyle w:val="label"/>
        <w:keepNext/>
        <w:ind w:left="0"/>
      </w:pPr>
      <w:r>
        <w:rPr>
          <w:b/>
          <w:sz w:val="20"/>
        </w:rPr>
        <w:t xml:space="preserve">Il nuovo sistema di trasporto B&amp;R</w:t>
      </w:r>
    </w:p>
    <w:p>
      <w:pPr>
        <w:pStyle w:val="par"/>
        <w:ind w:left="0"/>
      </w:pPr>
      <w:r>
        <w:rPr/>
        <w:t xml:space="preserve">Nello stand B&amp;R è stata presentata una stazione dimostrativa del nuovo sistema di trasporto basato su motori lineari magnetici SuperTrak, che si coordina con la robotica attraverso lo standard POWERLINK per manipolare oggetti in rapido movimento sulla linea. </w:t>
      </w:r>
      <w:r>
        <w:br w:type="textWrapping"/>
      </w:r>
      <w:r>
        <w:rPr/>
        <w:t xml:space="preserve">Per il controllo del robot Racer3 di COMAU, inoltre, l’integrazione è nativa grazie al progetto openROBOTICS.</w:t>
      </w:r>
    </w:p>
    <w:p/>
    <w:bookmarkStart w:id="7" w:name="_XREFN100C2"/>
    <w:bookmarkStart w:id="8" w:name="_XREFN100C7"/>
    <w:p>
      <w:pPr>
        <w:spacing w:after="200" w:before="0"/>
        <w:ind w:left="0"/>
      </w:pPr>
      <w:r>
        <w:drawing>
          <wp:inline xmlns:wp="http://schemas.openxmlformats.org/drawingml/2006/wordprocessingDrawing" distB="0" distL="0" distR="0" distT="0">
            <wp:extent cx="3600000" cy="3600000"/>
            <wp:effectExtent b="0" l="0" r="0" t="0"/>
            <wp:docPr id="1" nam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pic:cNvPicPr/>
                  </pic:nvPicPr>
                  <pic:blipFill>
                    <a:blip xmlns:r="http://schemas.openxmlformats.org/officeDocument/2006/relationships" cstate="print" r:embed="N103EA"/>
                    <a:stretch>
                      <a:fillRect/>
                    </a:stretch>
                  </pic:blipFill>
                  <pic:spPr>
                    <a:xfrm>
                      <a:off x="0" y="0"/>
                      <a:ext cx="3600000" cy="3600000"/>
                    </a:xfrm>
                    <a:prstGeom prst="rect">
                      <a:avLst/>
                    </a:prstGeom>
                  </pic:spPr>
                </pic:pic>
              </a:graphicData>
            </a:graphic>
          </wp:inline>
        </w:drawing>
      </w:r>
    </w:p>
    <w:bookmarkEnd w:id="8"/>
    <w:bookmarkEnd w:id="7"/>
    <w:bookmarkStart w:id="9" w:name="_XREFN1010D"/>
    <w:bookmarkStart w:id="10" w:name="_XREFN10112"/>
    <w:p>
      <w:pPr>
        <w:keepNext/>
        <w:spacing w:after="20" w:before="0"/>
        <w:ind w:left="0"/>
      </w:pPr>
      <w:r>
        <w:drawing>
          <wp:inline xmlns:wp="http://schemas.openxmlformats.org/drawingml/2006/wordprocessingDrawing" distB="0" distL="0" distR="0" distT="0">
            <wp:extent cx="3600000" cy="2839500"/>
            <wp:effectExtent b="0" l="0" r="0" t="0"/>
            <wp:docPr id="2" name="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4"/>
                    <pic:cNvPicPr/>
                  </pic:nvPicPr>
                  <pic:blipFill>
                    <a:blip xmlns:r="http://schemas.openxmlformats.org/officeDocument/2006/relationships" cstate="print" r:embed="N1042E"/>
                    <a:stretch>
                      <a:fillRect/>
                    </a:stretch>
                  </pic:blipFill>
                  <pic:spPr>
                    <a:xfrm>
                      <a:off x="0" y="0"/>
                      <a:ext cx="3600000" cy="2839500"/>
                    </a:xfrm>
                    <a:prstGeom prst="rect">
                      <a:avLst/>
                    </a:prstGeom>
                  </pic:spPr>
                </pic:pic>
              </a:graphicData>
            </a:graphic>
          </wp:inline>
        </w:drawing>
      </w:r>
    </w:p>
    <w:p>
      <w:pPr>
        <w:pStyle w:val="media-caption"/>
        <w:ind w:left="0"/>
      </w:pPr>
      <w:r>
        <w:t xml:space="preserve">Cella marcatrice laser nell'Area Know-How 4.0</w:t>
      </w:r>
    </w:p>
    <w:bookmarkEnd w:id="10"/>
    <w:bookmarkEnd w:id="9"/>
    <w:bookmarkStart w:id="11" w:name="_XREFN100A6"/>
    <w:bookmarkStart w:id="12" w:name="_XREFN100AD"/>
    <w:p>
      <w:pPr>
        <w:keepNext/>
        <w:spacing w:after="20" w:before="0"/>
        <w:ind w:left="0"/>
      </w:pPr>
      <w:r>
        <w:drawing>
          <wp:inline xmlns:wp="http://schemas.openxmlformats.org/drawingml/2006/wordprocessingDrawing" distB="0" distL="0" distR="0" distT="0">
            <wp:extent cx="3600000" cy="2700000"/>
            <wp:effectExtent b="0" l="0" r="0" t="0"/>
            <wp:docPr id="3" name="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3"/>
                    <pic:cNvPicPr/>
                  </pic:nvPicPr>
                  <pic:blipFill>
                    <a:blip xmlns:r="http://schemas.openxmlformats.org/officeDocument/2006/relationships" cstate="print" r:embed="N1047D"/>
                    <a:stretch>
                      <a:fillRect/>
                    </a:stretch>
                  </pic:blipFill>
                  <pic:spPr>
                    <a:xfrm>
                      <a:off x="0" y="0"/>
                      <a:ext cx="3600000" cy="2700000"/>
                    </a:xfrm>
                    <a:prstGeom prst="rect">
                      <a:avLst/>
                    </a:prstGeom>
                  </pic:spPr>
                </pic:pic>
              </a:graphicData>
            </a:graphic>
          </wp:inline>
        </w:drawing>
      </w:r>
    </w:p>
    <w:p>
      <w:pPr>
        <w:pStyle w:val="media-caption"/>
        <w:ind w:left="0"/>
      </w:pPr>
      <w:r>
        <w:t xml:space="preserve">Cella per il controllo di qualità in ambito farmaceutico.</w:t>
      </w:r>
    </w:p>
    <w:bookmarkEnd w:id="12"/>
    <w:bookmarkEnd w:id="11"/>
    <w:bookmarkStart w:id="13" w:name="_XREFN100A4"/>
    <w:bookmarkStart w:id="14" w:name="_XREFN100A9"/>
    <w:p>
      <w:pPr>
        <w:keepNext/>
        <w:spacing w:after="20" w:before="0"/>
        <w:ind w:left="0"/>
      </w:pPr>
      <w:r>
        <w:drawing>
          <wp:inline xmlns:wp="http://schemas.openxmlformats.org/drawingml/2006/wordprocessingDrawing" distB="0" distL="0" distR="0" distT="0">
            <wp:extent cx="3600000" cy="2700000"/>
            <wp:effectExtent b="0" l="0" r="0" t="0"/>
            <wp:docPr id="4" name="L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M"/>
                    <pic:cNvPicPr/>
                  </pic:nvPicPr>
                  <pic:blipFill>
                    <a:blip xmlns:r="http://schemas.openxmlformats.org/officeDocument/2006/relationships" cstate="print" r:embed="N104CC"/>
                    <a:stretch>
                      <a:fillRect/>
                    </a:stretch>
                  </pic:blipFill>
                  <pic:spPr>
                    <a:xfrm>
                      <a:off x="0" y="0"/>
                      <a:ext cx="3600000" cy="2700000"/>
                    </a:xfrm>
                    <a:prstGeom prst="rect">
                      <a:avLst/>
                    </a:prstGeom>
                  </pic:spPr>
                </pic:pic>
              </a:graphicData>
            </a:graphic>
          </wp:inline>
        </w:drawing>
      </w:r>
    </w:p>
    <w:p>
      <w:pPr>
        <w:pStyle w:val="media-caption"/>
        <w:ind w:left="0"/>
      </w:pPr>
      <w:r>
        <w:t xml:space="preserve">Sistema di trasporto basato su motori lineari magnetici SuperTrak.</w:t>
      </w:r>
    </w:p>
    <w:bookmarkEnd w:id="14"/>
    <w:bookmarkEnd w:id="13"/>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4E" w:type="default"/>
      <w:footerReference xmlns:r="http://schemas.openxmlformats.org/officeDocument/2006/relationships" r:id="N105E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B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4E" Target="header1.xml" Type="http://schemas.openxmlformats.org/officeDocument/2006/relationships/header"/><Relationship Id="N105E2" Target="footer1.xml" Type="http://schemas.openxmlformats.org/officeDocument/2006/relationships/footer"/><Relationship Id="N103EA" Target="media/N103EA.jpg" Type="http://schemas.openxmlformats.org/officeDocument/2006/relationships/image"/><Relationship Id="N1042E" Target="media/N1042E.jpg" Type="http://schemas.openxmlformats.org/officeDocument/2006/relationships/image"/><Relationship Id="N1047D" Target="media/N1047D.jpg" Type="http://schemas.openxmlformats.org/officeDocument/2006/relationships/image"/><Relationship Id="N104CC" Target="media/N104CC.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B5" Target="media/N105B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