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紧凑单元上的集成安全</w:t>
      </w:r>
    </w:p>
    <w:p>
      <w:pPr>
        <w:pStyle w:val="label-first"/>
        <w:keepNext/>
        <w:ind w:left="0"/>
      </w:pPr>
      <w:r>
        <w:rPr>
          <w:b/>
          <w:sz w:val="20"/>
        </w:rPr>
        <w:t xml:space="preserve">带高级安全功能的贝加莱伺服系统</w:t>
      </w:r>
    </w:p>
    <w:p>
      <w:pPr>
        <w:pStyle w:val="par-first"/>
        <w:ind w:left="0"/>
        <w:jc w:val="left"/>
      </w:pPr>
      <w:r>
        <w:rPr>
          <w:i/>
          <w:i/>
        </w:rPr>
        <w:t xml:space="preserve">贝加莱为最新ACOPOSmotor紧凑型驱动系统提供基于网络的集成安全功能。这一高级安全解决方案可以在一个很小的空间内实施。ACOPOSmotor安全功能满足SIL 3 / PL e / Cat 4功能安全等级认证。</w:t>
      </w:r>
    </w:p>
    <w:p>
      <w:pPr>
        <w:pStyle w:val="label"/>
        <w:keepNext/>
        <w:ind w:left="0"/>
      </w:pPr>
      <w:r>
        <w:rPr>
          <w:b/>
          <w:sz w:val="20"/>
        </w:rPr>
        <w:t xml:space="preserve">智能编码系统</w:t>
      </w:r>
    </w:p>
    <w:p>
      <w:pPr>
        <w:pStyle w:val="par"/>
        <w:ind w:left="0"/>
      </w:pPr>
      <w:r>
        <w:rPr/>
        <w:t xml:space="preserve">对于编码器系统，贝加莱使用带有EnDat 2.2 接口的安全编码器。数字编码器具有高抗干扰性和高精度。它们安装安全，每个编码器都会检测安装指南，编码器和电机轴之间的连接中的错误可以被排除。因此位置数据也可以被用在安全绝对位置。</w:t>
      </w:r>
    </w:p>
    <w:p>
      <w:pPr>
        <w:pStyle w:val="label"/>
        <w:keepNext/>
        <w:ind w:left="0"/>
      </w:pPr>
      <w:r>
        <w:rPr>
          <w:b/>
          <w:sz w:val="20"/>
        </w:rPr>
        <w:t xml:space="preserve">紧凑和鲁棒性</w:t>
      </w:r>
    </w:p>
    <w:p>
      <w:pPr>
        <w:pStyle w:val="par"/>
        <w:ind w:left="0"/>
      </w:pPr>
      <w:r>
        <w:rPr/>
        <w:t xml:space="preserve">由于ACOPOSmotor单元采用无风扇和独特的油封设计，因此可提供IP65保护等级。菊花链连接方式大大减少了所需电缆的数量。因为电子单元直接被电机冷却，这使得该驱动系统可以实现极其紧凑的设计。</w:t>
      </w:r>
    </w:p>
    <w:p/>
    <w:bookmarkStart w:id="5" w:name="_XREFN100C2"/>
    <w:bookmarkStart w:id="6" w:name="_XREFN100C7"/>
    <w:p>
      <w:pPr>
        <w:spacing w:after="200" w:before="0"/>
        <w:ind w:left="0"/>
      </w:pPr>
      <w:r>
        <w:drawing>
          <wp:inline xmlns:wp="http://schemas.openxmlformats.org/drawingml/2006/wordprocessingDrawing" distB="0" distL="0" distR="0" distT="0">
            <wp:extent cx="3596640" cy="2401824"/>
            <wp:effectExtent b="0" l="0" r="0" t="0"/>
            <wp:docPr id="1" name="0817集成安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817集成安全"/>
                    <pic:cNvPicPr/>
                  </pic:nvPicPr>
                  <pic:blipFill>
                    <a:blip xmlns:r="http://schemas.openxmlformats.org/officeDocument/2006/relationships" cstate="print" r:embed="N103A0"/>
                    <a:stretch>
                      <a:fillRect/>
                    </a:stretch>
                  </pic:blipFill>
                  <pic:spPr>
                    <a:xfrm>
                      <a:off x="0" y="0"/>
                      <a:ext cx="3596640" cy="2401824"/>
                    </a:xfrm>
                    <a:prstGeom prst="rect">
                      <a:avLst/>
                    </a:prstGeom>
                  </pic:spPr>
                </pic:pic>
              </a:graphicData>
            </a:graphic>
          </wp:inline>
        </w:drawing>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17" w:type="default"/>
      <w:footerReference xmlns:r="http://schemas.openxmlformats.org/officeDocument/2006/relationships" r:id="N104A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7" Target="header1.xml" Type="http://schemas.openxmlformats.org/officeDocument/2006/relationships/header"/><Relationship Id="N104AB"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E" Target="media/N1047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