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Головной офис Российского представительства компании B&amp;R переехал в новый офис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Уважаемые клиенты и партнеры!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Просим вас обратить внимание на то, что с 30.08.2016 г. изменились юридический и фактический адреса головного офиса ООО «Б+Р Промышленная Автоматизация» в Москве. Новый адрес – 119571, г. Москва, Ленинский проспект, д. 119А, этаж 5. Телефоны и электронные адреса остаются прежними.Схему проезда в новый офис вы можете посмотреть тут.</w:t>
      </w:r>
    </w:p>
    <w:p>
      <w:pPr>
        <w:pStyle w:val="par"/>
        <w:ind w:left="0"/>
      </w:pPr>
      <w:r>
        <w:rPr/>
        <w:t xml:space="preserve">Так же обращаем внимание на изменения в наших реквизитах. Карточку компании с новыми реквизитами можно получить, отправив запрос на </w:t>
      </w:r>
      <w:r>
        <w:rPr/>
        <w:fldChar w:fldCharType="begin"/>
      </w:r>
      <w:r>
        <w:rPr/>
        <w:instrText xml:space="preserve">HYPERLINK "mailto:office.ru@br-automation.com"</w:instrText>
      </w:r>
      <w:r>
        <w:fldChar w:fldCharType="separate"/>
      </w:r>
      <w:r>
        <w:rPr/>
        <w:t>office.ru@br-automation.com</w:t>
      </w:r>
      <w:r>
        <w:fldChar w:fldCharType="end"/>
      </w:r>
      <w:r>
        <w:rPr/>
        <w:t xml:space="preserve">.</w:t>
      </w:r>
    </w:p>
    <w:p/>
    <w:bookmarkStart w:id="4" w:name="_XREFN100C2"/>
    <w:bookmarkStart w:id="5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leninskiy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ninskiy119"/>
                    <pic:cNvPicPr/>
                  </pic:nvPicPr>
                  <pic:blipFill>
                    <a:blip xmlns:r="http://schemas.openxmlformats.org/officeDocument/2006/relationships" cstate="print" r:embed="N1038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End w:id="4"/>
    <w:bookmarkStart w:id="6" w:name="_XREFN100B8"/>
    <w:bookmarkStart w:id="7" w:name="_XREFN100BD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2" name="map_all_ar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_all_arrows"/>
                    <pic:cNvPicPr/>
                  </pic:nvPicPr>
                  <pic:blipFill>
                    <a:blip xmlns:r="http://schemas.openxmlformats.org/officeDocument/2006/relationships" cstate="print" r:embed="N103C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3" Target="footer1.xml" Type="http://schemas.openxmlformats.org/officeDocument/2006/relationships/footer"/><Relationship Id="N10385" Target="media/N10385.jpg" Type="http://schemas.openxmlformats.org/officeDocument/2006/relationships/image"/><Relationship Id="N103C8" Target="media/N103C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6" Target="media/N104A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