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gewinnt durch Innovationen Marktanteile</w:t>
      </w:r>
    </w:p>
    <w:p>
      <w:pPr>
        <w:pStyle w:val="label-first"/>
        <w:keepNext/>
        <w:ind w:left="0"/>
      </w:pPr>
      <w:r>
        <w:rPr>
          <w:b/>
          <w:sz w:val="20"/>
        </w:rPr>
        <w:t xml:space="preserve">Automatisierungsspezialist wächst deutlich</w:t>
      </w:r>
    </w:p>
    <w:p>
      <w:pPr>
        <w:pStyle w:val="par-first"/>
        <w:ind w:left="0"/>
        <w:jc w:val="left"/>
      </w:pPr>
      <w:r>
        <w:rPr>
          <w:i/>
          <w:i/>
        </w:rPr>
        <w:t xml:space="preserve">Der Industrie-Elektronik-Konzern B&amp;R verzeichnet weiter hohe Wachstumsraten. Durch innovative Lösungen hat der Automatisierungsspezialist Marktanteile hinzugewonnen. Besonders hohe Nachfrage herrscht derzeit nach dem intelligenten Transportsystem SuperTrak, der Servoverstärker-Familie ACOPOS P3 und der webbasierten Visualisierung mapp View.</w:t>
      </w:r>
    </w:p>
    <w:p>
      <w:pPr>
        <w:pStyle w:val="par"/>
        <w:ind w:left="0"/>
      </w:pPr>
      <w:r>
        <w:rPr/>
        <w:t xml:space="preserve">„Wir werden auch 2016 stark wachsen“, sagte General Manager Peter Gucher auf der Jahres-Pressekonferenz von B&amp;R im Vorfeld der SPS IPC Drives. Der Maschinenbau verzeichnet nach den neuesten Zahlen des VDMA im ersten Halbjahr 2016 ein Umsatzwachstum von 2 Prozent gegenüber dem Vorjahr. „Diesen Wert haben wir deutlich übertroffen und in den vergangenen Monaten sogar noch stark zugelegt“, sagte Gucher. „Das liegt neben innovativen Produkten auch daran, dass wir unseren Kunden bei der Umsetzung neuer Fertigungsstrategien für die Mass Customization optimal helfen.“</w:t>
      </w:r>
    </w:p>
    <w:p>
      <w:pPr>
        <w:pStyle w:val="label"/>
        <w:keepNext/>
        <w:ind w:left="0"/>
      </w:pPr>
      <w:r>
        <w:rPr>
          <w:b/>
          <w:sz w:val="20"/>
        </w:rPr>
        <w:t xml:space="preserve">Intelligentes lineares Transportsystem</w:t>
      </w:r>
    </w:p>
    <w:p>
      <w:pPr>
        <w:pStyle w:val="par"/>
        <w:ind w:left="0"/>
      </w:pPr>
      <w:r>
        <w:rPr/>
        <w:t xml:space="preserve">Ein weiterer Schritt zur Herstellung individualisierter Produkte in Massenfertigung ist das B&amp;R-Transport-System SuperTrak. Zuverlässig, präzise und vor allem wartungsarm produziert SuperTrak nahtlos integriert im Verbund mit Robotern und CNC-Systemen. Durch den Einsatz modernster Linearmotortechnologie und individuellen Transport-Shuttles lässt sich jede beliebige Losgröße flexibel und wirtschaftlich herstellen.</w:t>
      </w:r>
    </w:p>
    <w:p>
      <w:pPr>
        <w:pStyle w:val="label"/>
        <w:keepNext/>
        <w:ind w:left="0"/>
      </w:pPr>
      <w:r>
        <w:rPr>
          <w:b/>
          <w:sz w:val="20"/>
        </w:rPr>
        <w:t xml:space="preserve">Web-Visualisierung für Industrieanwendungen</w:t>
      </w:r>
    </w:p>
    <w:p>
      <w:pPr>
        <w:pStyle w:val="par"/>
        <w:ind w:left="0"/>
      </w:pPr>
      <w:r>
        <w:rPr/>
        <w:t xml:space="preserve">Das Software-Framework mapp Technology wurde 2016 um die webbasierte Visualisierungslösung mapp View erweitert. „Unsere Kunden sind begeistert davon, dass sie mit mapp View eine moderne Nutzerführung realisieren können“, sagte Gucher. Videoeinspielungen, Multitouch-Gesten und weitere innovative Bedienkonzepte aus der Smartphone-Welt lassen sich einfach implementieren. So wird die Produktivität erhöht und Stillstandzeiten reduziert. Da mapp View unabhängig von Betriebssystemen ist, läuft es auch auf beliebigen mobilen Geräten wie Smartphones und Tablets. „Mit mapp View haben wir ein Werkzeug geschaffen, das Web-Technologie und Automatisierung vereint – ohne dass Web-Experten im Automatisierungsteam benötigt werden.“</w:t>
      </w:r>
    </w:p>
    <w:p>
      <w:pPr>
        <w:pStyle w:val="label"/>
        <w:keepNext/>
        <w:ind w:left="0"/>
      </w:pPr>
      <w:r>
        <w:rPr>
          <w:b/>
          <w:sz w:val="20"/>
        </w:rPr>
        <w:t xml:space="preserve">Modernste Systemarchitektur für Nutzfahrzeuge</w:t>
      </w:r>
    </w:p>
    <w:p>
      <w:pPr>
        <w:pStyle w:val="par"/>
        <w:ind w:left="0"/>
      </w:pPr>
      <w:r>
        <w:rPr/>
        <w:t xml:space="preserve">Mit dem System X90 mobile stellt B&amp;R dem Markt der Bau-, Agrar- und Kommunalfahrzeuge 35 Jahre Automatisierungserfahrung zur Verfügung. Damit können Hersteller von Nutzfahrzeugen auf modernste Hard- und Softwaretechnologien zurückgreifen. „So kraftvolle Werkzeuge wie unsere Automatisierungssoftware Automation Studio oder das mapp-Framework sind bei herkömmlichen Systemen in dieser Branche nicht verfügbar. Die Hersteller werden mit B&amp;R-Technologie große Innovationsschritte in den Anwendungen machen“, ist Gucher überzeugt. </w:t>
      </w:r>
    </w:p>
    <w:p>
      <w:pPr>
        <w:pStyle w:val="label"/>
        <w:keepNext/>
        <w:ind w:left="0"/>
      </w:pPr>
      <w:r>
        <w:rPr>
          <w:b/>
          <w:sz w:val="20"/>
        </w:rPr>
        <w:t xml:space="preserve">Wachstumsbranche Verpackung </w:t>
      </w:r>
    </w:p>
    <w:p>
      <w:pPr>
        <w:pStyle w:val="par"/>
        <w:ind w:left="0"/>
      </w:pPr>
      <w:r>
        <w:rPr/>
        <w:t xml:space="preserve">Das Wachstum von B&amp;R verteilt sich quer über alle Branchen. Besonders stark sei derzeit der Bereich Verpackung, strich Gucher heraus. „Kunden aus der Verpackungsbranche schätzen besonders die hohe Dynamik und Präzision der Servoverstärker-Familie ACOPOS P3.“ Durch die hohe Synchronisationsgenauigkeit vieler Achsen und die integrierte Sicherheitstechnik lassen sich flexiblere Verpackungsmaschinen für intelligente Fertigungen entwickeln.</w:t>
      </w:r>
    </w:p>
    <w:p>
      <w:pPr>
        <w:pStyle w:val="label"/>
        <w:keepNext/>
        <w:ind w:left="0"/>
      </w:pPr>
      <w:r>
        <w:rPr>
          <w:b/>
          <w:sz w:val="20"/>
        </w:rPr>
        <w:t xml:space="preserve">Wachstumsmärkte Indien und Nordeuropa</w:t>
      </w:r>
    </w:p>
    <w:p>
      <w:pPr>
        <w:pStyle w:val="par"/>
        <w:ind w:left="0"/>
      </w:pPr>
      <w:r>
        <w:rPr/>
        <w:t xml:space="preserve">B&amp;R hat in den vergangenen 12 Monaten aufgrund der hohen Nachfrage nach B&amp;R-Lösungen unter anderem neue Büros in Valencia, Straßburg und Mumbai sowie eine Tochtergesellschaft in Finnland eröffnet. „Weitere Standorte weltweit sind in Planung“, sagte Gucher.</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5400000"/>
            <wp:effectExtent b="0" l="0" r="0" t="0"/>
            <wp:docPr id="1" name="Gucher Peter  General Manager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cher Peter  General Manager International"/>
                    <pic:cNvPicPr/>
                  </pic:nvPicPr>
                  <pic:blipFill>
                    <a:blip xmlns:r="http://schemas.openxmlformats.org/officeDocument/2006/relationships" cstate="print" r:embed="N1041F"/>
                    <a:stretch>
                      <a:fillRect/>
                    </a:stretch>
                  </pic:blipFill>
                  <pic:spPr>
                    <a:xfrm>
                      <a:off x="0" y="0"/>
                      <a:ext cx="3600000" cy="5400000"/>
                    </a:xfrm>
                    <a:prstGeom prst="rect">
                      <a:avLst/>
                    </a:prstGeom>
                  </pic:spPr>
                </pic:pic>
              </a:graphicData>
            </a:graphic>
          </wp:inline>
        </w:drawing>
      </w:r>
    </w:p>
    <w:p>
      <w:pPr>
        <w:pStyle w:val="media-caption"/>
        <w:ind w:left="0"/>
      </w:pPr>
      <w:r>
        <w:t xml:space="preserve">"Wir werden auch 2016 stark wachsen." Peter Gucher, General Manager, B&amp;R</w:t>
      </w:r>
    </w:p>
    <w:bookmarkEnd w:id="10"/>
    <w:bookmarkEnd w:id="9"/>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A1" w:type="default"/>
      <w:footerReference xmlns:r="http://schemas.openxmlformats.org/officeDocument/2006/relationships" r:id="N1053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0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1" Target="header1.xml" Type="http://schemas.openxmlformats.org/officeDocument/2006/relationships/header"/><Relationship Id="N10535" Target="footer1.xml" Type="http://schemas.openxmlformats.org/officeDocument/2006/relationships/footer"/><Relationship Id="N1041F" Target="media/N1041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8" Target="media/N1050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