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ganha participação de mercado através da inovação</w:t>
      </w:r>
    </w:p>
    <w:p>
      <w:pPr>
        <w:pStyle w:val="label-first"/>
        <w:keepNext/>
        <w:ind w:left="0"/>
      </w:pPr>
      <w:r>
        <w:rPr>
          <w:b/>
          <w:sz w:val="20"/>
        </w:rPr>
        <w:t xml:space="preserve">Crescimento substancial</w:t>
      </w:r>
    </w:p>
    <w:p>
      <w:pPr>
        <w:pStyle w:val="par-first"/>
        <w:ind w:left="0"/>
        <w:jc w:val="left"/>
      </w:pPr>
      <w:r>
        <w:rPr>
          <w:i/>
          <w:i/>
        </w:rPr>
        <w:t xml:space="preserve">Crescimento substancial Especialmente na demanda: o sistema de transporte SuperTrak inteligente, os poderosos servocorteles ACOPOS P3 e a solução MMI View HMI baseada na web.</w:t>
      </w:r>
    </w:p>
    <w:p>
      <w:pPr>
        <w:pStyle w:val="par"/>
        <w:ind w:left="0"/>
      </w:pPr>
      <w:r>
        <w:rPr/>
        <w:t xml:space="preserve">"Nós vamos continuar nossa linha de crescimento em 2016", disse o gerente geral Peter Gucher na conferência de imprensa anual na viragem do SPS IPC Drives. De acordo com os últimos números da VDMA, a fabricação de máquinas registrou um aumento de 2% na receita no primeiro semestre de 2016. "Nós fomos significativamente maiores do que isso, e fizemos um novo aumento nos últimos meses", disse Gucher. "Nós fizemos isso fornecendo nossos clientes não só com produtos inovadores, mas também com suporte ideal, pois implementam estratégias avançadas de fabricação para customização em massa".</w:t>
      </w:r>
    </w:p>
    <w:p>
      <w:pPr>
        <w:pStyle w:val="label"/>
        <w:keepNext/>
        <w:ind w:left="0"/>
      </w:pPr>
      <w:r>
        <w:rPr>
          <w:b/>
          <w:sz w:val="20"/>
        </w:rPr>
        <w:t xml:space="preserve">Sistema de transporte linear inteligente</w:t>
      </w:r>
    </w:p>
    <w:p>
      <w:pPr>
        <w:pStyle w:val="par"/>
        <w:ind w:left="0"/>
      </w:pPr>
      <w:r>
        <w:rPr/>
        <w:t xml:space="preserve">O sistema de transporte SuperTrak da B&amp;R representa um passo adicional para a produção em massa de itens personalizados. Manutenção confiável, precisa e notavelmente baixa - o SuperTrak combina perfeitamente com a robótica e os sistemas CNC para criar linhas de produção integradas. A tecnologia de motor linear de última geração e os serviços de transporte independentes fornecem transporte altamente responsivo para uma produção eficiente em qualquer tamanho do lote.</w:t>
      </w:r>
    </w:p>
    <w:p>
      <w:pPr>
        <w:pStyle w:val="label"/>
        <w:keepNext/>
        <w:ind w:left="0"/>
      </w:pPr>
      <w:r>
        <w:rPr>
          <w:b/>
          <w:sz w:val="20"/>
        </w:rPr>
        <w:t xml:space="preserve">IHM baseada na Web para aplicações industriais</w:t>
      </w:r>
    </w:p>
    <w:p>
      <w:pPr>
        <w:pStyle w:val="par"/>
        <w:ind w:left="0"/>
      </w:pPr>
      <w:r>
        <w:rPr/>
        <w:t xml:space="preserve">Em 2016, a B&amp;R adicionou a solução MMI View HMI baseada na web à sua estrutura de software da tecnologia mapp. "Nossos clientes estão realmente desfrutando da capacidade de projetar interfaces de usuário modernas usando o mapp View", relata Gucher. Ao facilitar a implementação de recursos como smartphones, como vídeos incorporados e gestos multi-touch, o mapp View ajuda a aumentar a produtividade e a minimizar o tempo de inatividade. Uma vez que funciona independentemente do sistema operacional, o mapp View pode ser executado em qualquer dispositivo móvel, incluindo smartphones e tablets. "Com o mapp View, conseguimos fundir os mundos da tecnologia da web e da automação de forma a não exigir que equipes de desenvolvimento incluam especialistas em design web".</w:t>
      </w:r>
    </w:p>
    <w:p>
      <w:pPr>
        <w:pStyle w:val="label"/>
        <w:keepNext/>
        <w:ind w:left="0"/>
      </w:pPr>
      <w:r>
        <w:rPr>
          <w:b/>
          <w:sz w:val="20"/>
        </w:rPr>
        <w:t xml:space="preserve">Arquitetura de sistemas avançados para veículos comerciais</w:t>
      </w:r>
    </w:p>
    <w:p>
      <w:pPr>
        <w:pStyle w:val="par"/>
        <w:ind w:left="0"/>
      </w:pPr>
      <w:r>
        <w:rPr/>
        <w:t xml:space="preserve">Com o sistema X90 da B&amp;R, os fabricantes de veículos de construção, agrícolas e municipais agora podem se beneficiar das 35 anos de experiência de automação da B &amp; R e desfrutar do acesso à tecnologia de hardware e software mais recente. "Ferramentas poderosas como nosso software de automação do Automation Studio e a estrutura mapp não estão disponíveis com soluções convencionais encontradas nestas indústrias. A tecnologia B&amp;R ajudará esses fabricantes a avançar com seus aplicativos ", disse Gucher com confiança. </w:t>
      </w:r>
    </w:p>
    <w:p>
      <w:pPr>
        <w:pStyle w:val="label"/>
        <w:keepNext/>
        <w:ind w:left="0"/>
      </w:pPr>
      <w:r>
        <w:rPr>
          <w:b/>
          <w:sz w:val="20"/>
        </w:rPr>
        <w:t xml:space="preserve">Indústria de crescimento: Embalagem </w:t>
      </w:r>
    </w:p>
    <w:p>
      <w:pPr>
        <w:pStyle w:val="par"/>
        <w:ind w:left="0"/>
      </w:pPr>
      <w:r>
        <w:rPr/>
        <w:t xml:space="preserve">O crescimento da B&amp;R abrange todas as indústrias, sendo a embalagem particularmente forte no momento, como destacou Gucher: "Os clientes de embalagens especialmente apreciam a dinâmica e precisão de nossos servocorteles ACOPOS P3". A precisão excepcional de sincronização de eixos e a tecnologia de segurança integrada possibilitam a concepção de máquinas de embalagem mais ágeis para fábricas inteligentes.</w:t>
      </w:r>
    </w:p>
    <w:p>
      <w:pPr>
        <w:pStyle w:val="label"/>
        <w:keepNext/>
        <w:ind w:left="0"/>
      </w:pPr>
      <w:r>
        <w:rPr>
          <w:b/>
          <w:sz w:val="20"/>
        </w:rPr>
        <w:t xml:space="preserve">Mercados de crescimento: Índia e Europa do Norte</w:t>
      </w:r>
    </w:p>
    <w:p>
      <w:pPr>
        <w:pStyle w:val="par"/>
        <w:ind w:left="0"/>
      </w:pPr>
      <w:r>
        <w:rPr/>
        <w:t xml:space="preserve">India and Northern Europe "Mais novos locais estão em planejamento em todo o mundo", disse Gucher.</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"Nós vamos continuar nossa linha de crescimento em 2016." Peter Gucher, Gerente Geral, B&amp;R</w:t>
      </w:r>
    </w:p>
    <w:bookmarkEnd w:id="10"/>
    <w:bookmarkEnd w:id="9"/>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