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Функциональные блоки для интеллектуального приглушения датчиков сэкономят Вам деньги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Новые режимы приглушения датчиков от B&amp;R дадут решениям со световыми барьерами новый уровень гибкости</w:t>
      </w:r>
    </w:p>
    <w:p>
      <w:pPr>
        <w:pStyle w:val="par-first"/>
        <w:ind w:left="0"/>
        <w:jc w:val="left"/>
      </w:pPr>
      <w:r>
        <w:rPr>
          <w:i/>
          <w:i/>
        </w:rPr>
        <w:t xml:space="preserve">Инженеры B&amp;R нашли способ упростить производство продукции малыми партиями с помощью новых функциональных блоков для программирования световых барьеров с сетевой интеграцией. Новые функциональные блоки для программируемых световых барьеров с сетевой интеграцией смогут пропускать объекты различной формы и размера сквозь барьер без ложного срабатывания системы безопасности.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Снижение расходов на аппаратное обеспечение</w:t>
      </w:r>
    </w:p>
    <w:p>
      <w:pPr>
        <w:pStyle w:val="par"/>
        <w:ind w:left="0"/>
      </w:pPr>
      <w:r>
        <w:rPr/>
        <w:t xml:space="preserve">Световые барьеры с сетевой интеграцией теперь смогут обрабатывать каждый луч барьера отдельно. Для этого не потребуются дополнительные датчики, световой барьер сам сможет определять профили объектов и отправлять данные контроллеру безопасности. А это значит, что требуется меньше оборудования и меньше монтажа.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Режимы интеллектуального приглушения датчиков в качестве функционального блока</w:t>
      </w:r>
    </w:p>
    <w:p>
      <w:pPr>
        <w:pStyle w:val="par"/>
        <w:ind w:left="0"/>
      </w:pPr>
      <w:r>
        <w:rPr/>
        <w:t xml:space="preserve">Каждый режим приглушения заранее запрограммирован, как сертифицированный функциональный блок. Продвинутые режимы приглушения датчиков от B&amp;R не только обеспечивают барьер самыми распространенными и часто используемыми функциями, но и делают его более гибким, чем традиционные решения для приглушения датчиков.  Например, сквозь световой барьер можно перемещать как длинные, так и короткие объекты. Все, что требуется для работы - это один раз настроить. 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dvanced M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vanced Muting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Новые функциональные блоки для программируемых световых барьеров с сетевой интеграцией смогут пропускать объекты различной формы и размера сквозь барьер без ложного срабатывания системы безопасности.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