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Wirtschaftlicher mit SuperTrak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präsentiert intelligente Transporttechnologie auf der interpack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präsentiert auf der interpack (Stand E62, Halle 6) den </w:t>
      </w:r>
      <w:r>
        <w:rPr>
          <w:i/>
          <w:i/>
        </w:rPr>
        <w:t>SuperTrak</w:t>
      </w:r>
      <w:r>
        <w:rPr>
          <w:i/>
          <w:i/>
        </w:rPr>
        <w:t xml:space="preserve">. Mit diesem flexiblen Transportsystem leistet B&amp;R einen großen Beitrag zu Packaging 4.0. Durch bisher unerreichte Flexibilität und Vernetzung können Hersteller von Konsumgütern ihre Gesamtanlageneffektivität (OEE) und ihre Gesamtbetriebskosten (TCO) mit Packaging 4.0 optimieren.</w:t>
      </w:r>
    </w:p>
    <w:p>
      <w:pPr>
        <w:pStyle w:val="par"/>
        <w:ind w:left="0"/>
      </w:pPr>
      <w:r>
        <w:rPr/>
        <w:t xml:space="preserve">SuperTrak ist die neue Generation einer robusten, benutzerfreundlichen und intelligenten Transporttechnologie auf der Basis von Langstator-Linearmotoren. Im Gegensatz zu bisherigen Systemen bietet SuperTrak industrielle Zuverlässigkeit und einfache Wartbarkeit. Shuttles, die sich unabhängig voneinander bewegen, ermöglichen die Massenfertigung von kundenspezifischen Produkten. Gleichzeitig werden Stillstands- und Rüstzeiten minimiert.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Durchgehende Vernetzung</w:t>
      </w:r>
    </w:p>
    <w:p>
      <w:pPr>
        <w:pStyle w:val="par"/>
        <w:ind w:left="0"/>
      </w:pPr>
      <w:r>
        <w:rPr/>
        <w:t xml:space="preserve">B&amp;R zeigt zudem, wie mit den offenen Standards POWERLINK, OMAC PackML und </w:t>
      </w:r>
      <w:r>
        <w:rPr/>
        <w:t>OPC UA</w:t>
      </w:r>
      <w:r>
        <w:rPr/>
        <w:t xml:space="preserve"> die nötige Vernetzung für das Industrial IoT umgesetzt wird. Mit der durchgehenden Vernetzung von herstellerübergreifenden Linien und Wertschöpfungsketten können Anlagenbetreiber die Wirtschaftlichkeit ihrer Produktion deutlich erhöhen.</w:t>
      </w:r>
    </w:p>
    <w:p>
      <w:pPr>
        <w:pStyle w:val="par"/>
        <w:ind w:left="0"/>
      </w:pPr>
      <w:r>
        <w:rPr/>
        <w:t xml:space="preserve">Weitere Informationen über B&amp;Rs Beitrag zur Zukunft der Verpackungsindustrie gibt es im Whitepaper Packaging 4.0 und in einer Sonderausgabe des B&amp;R-Technologiemagazins automotion. Beide Publikationen sind auf Stand E62 in Halle 6 der interpack erhältlich.</w:t>
      </w:r>
    </w:p>
    <w:p/>
    <w:bookmarkStart w:id="6" w:name="_XREFN100C2"/>
    <w:bookmarkStart w:id="7" w:name="_XREFN1007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nR Interpack Packaging 4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Interpack Packaging 4.0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Hersteller von Konsumgütern können mit Packaging 4.0 ihre Gesamtanlageneffektivität (OEE) und ihre Gesamtkosten (TCO) optimieren.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E" w:type="default"/>
      <w:footerReference xmlns:r="http://schemas.openxmlformats.org/officeDocument/2006/relationships" r:id="N104D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E" Target="header1.xml" Type="http://schemas.openxmlformats.org/officeDocument/2006/relationships/header"/><Relationship Id="N104D2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5" Target="media/N104A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