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Excellence opérationnelle avec le SuperTrak</w:t>
      </w:r>
    </w:p>
    <w:p>
      <w:pPr>
        <w:pStyle w:val="label-first"/>
        <w:keepNext/>
        <w:ind w:left="0"/>
      </w:pPr>
      <w:r>
        <w:rPr>
          <w:b/>
          <w:sz w:val="20"/>
        </w:rPr>
        <w:t xml:space="preserve">B&amp;R présente une technologie de convoyage intelligente sur interpack </w:t>
      </w:r>
    </w:p>
    <w:p>
      <w:pPr>
        <w:pStyle w:val="par-first"/>
        <w:ind w:left="0"/>
        <w:jc w:val="left"/>
      </w:pPr>
      <w:r>
        <w:rPr>
          <w:i/>
          <w:i/>
        </w:rPr>
        <w:t xml:space="preserve">A l'édition 2017 d'interpack, B&amp;R présentera le SuperTrak, un système de convoyage intelligent apportant une brique essentielle à l'Emballage 4.0. Grâce aux technologies de l'Emballage 4.0, les producteurs de biens de consommation peuvent améliorer l'efficacité de leur outil de production (OEE) et réduire leurs coûts d'exploitation (TCO).</w:t>
      </w:r>
    </w:p>
    <w:p>
      <w:pPr>
        <w:pStyle w:val="par"/>
        <w:ind w:left="0"/>
      </w:pPr>
      <w:r>
        <w:rPr/>
        <w:t xml:space="preserve">Le SuperTrak est la nouvelle génération de systèmes de convoyage basés sur des moteurs linéaires à stator long. A la différence des autres systèmes proposés jusqu'à présent, il offre une fiabilité de niveau industriel ainsi qu'une grande facilité de maintenance. Ses navettes contrôlables individuellement permettent de produire en masse des produits hautement personnalisés tout en minimisant les arrêts de production et les changements de série.</w:t>
      </w:r>
    </w:p>
    <w:p>
      <w:pPr>
        <w:pStyle w:val="label"/>
        <w:keepNext/>
        <w:ind w:left="0"/>
      </w:pPr>
      <w:r>
        <w:rPr>
          <w:b/>
          <w:sz w:val="20"/>
        </w:rPr>
        <w:t xml:space="preserve">Connectivité totale</w:t>
      </w:r>
    </w:p>
    <w:p>
      <w:pPr>
        <w:pStyle w:val="par"/>
        <w:ind w:left="0"/>
      </w:pPr>
      <w:r>
        <w:rPr/>
        <w:t xml:space="preserve">B&amp;R montrera aussi comment tirer profit des standards ouverts POWERLINK, OMAC PackML et OPC UA pour mettre en œuvre la connectivité qu'exigent les solutions Industrial IoT. Cette connectivité, du capteur au cloud et à travers des lignes multi-fournisseurs et des chaînes de valeurs, permettra un net accroissement de l'efficacité de la production.</w:t>
      </w:r>
    </w:p>
    <w:p>
      <w:pPr>
        <w:pStyle w:val="par"/>
        <w:ind w:left="0"/>
      </w:pPr>
      <w:r>
        <w:rPr/>
        <w:t xml:space="preserve">Les contributions de B&amp;R aux technologies futures de l'industrie de l'emballage sont expliquées plus en détail dans le livre blanc Emballage 4.0, disponible en français, ainsi que dans l'édition spéciale emballage du magazine "automotion" de B&amp;R. Ces deux publications seront disponibles sur interpack, stand E62 hall 6.</w:t>
      </w:r>
    </w:p>
    <w:p/>
    <w:bookmarkStart w:id="6" w:name="_XREFN100C2"/>
    <w:bookmarkStart w:id="7" w:name="_XREFN1007E"/>
    <w:p>
      <w:pPr>
        <w:keepNext/>
        <w:spacing w:after="20" w:before="0"/>
        <w:ind w:left="0"/>
      </w:pPr>
      <w:r>
        <w:drawing>
          <wp:inline xmlns:wp="http://schemas.openxmlformats.org/drawingml/2006/wordprocessingDrawing" distB="0" distL="0" distR="0" distT="0">
            <wp:extent cx="3600000" cy="2400000"/>
            <wp:effectExtent b="0" l="0" r="0" t="0"/>
            <wp:docPr id="1" name="BnR Interpack Packag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 Interpack Packaging 4.0"/>
                    <pic:cNvPicPr/>
                  </pic:nvPicPr>
                  <pic:blipFill>
                    <a:blip xmlns:r="http://schemas.openxmlformats.org/officeDocument/2006/relationships" cstate="print" r:embed="N1039A"/>
                    <a:stretch>
                      <a:fillRect/>
                    </a:stretch>
                  </pic:blipFill>
                  <pic:spPr>
                    <a:xfrm>
                      <a:off x="0" y="0"/>
                      <a:ext cx="3600000" cy="2400000"/>
                    </a:xfrm>
                    <a:prstGeom prst="rect">
                      <a:avLst/>
                    </a:prstGeom>
                  </pic:spPr>
                </pic:pic>
              </a:graphicData>
            </a:graphic>
          </wp:inline>
        </w:drawing>
      </w:r>
    </w:p>
    <w:p>
      <w:pPr>
        <w:pStyle w:val="media-caption"/>
        <w:ind w:left="0"/>
      </w:pPr>
      <w:r>
        <w:t xml:space="preserve">Grâce aux technologies de l'Emballage 4.0, les producteurs de biens de consommation peuvent améliorer l'efficacité de leur outil de production (OEE) et réduire leurs coûts d'exploitation (TCO). </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