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让SuperTrak给您带来卓越运营</w:t>
      </w:r>
    </w:p>
    <w:p>
      <w:pPr>
        <w:pStyle w:val="label-first"/>
        <w:keepNext/>
        <w:ind w:left="0"/>
      </w:pPr>
      <w:r>
        <w:rPr>
          <w:b/>
          <w:sz w:val="20"/>
        </w:rPr>
        <w:t xml:space="preserve">贝加莱在Interpack上展出智能传输技术</w:t>
      </w:r>
    </w:p>
    <w:p>
      <w:pPr>
        <w:pStyle w:val="par-first"/>
        <w:ind w:left="0"/>
        <w:jc w:val="left"/>
      </w:pPr>
      <w:r>
        <w:rPr>
          <w:i/>
          <w:i/>
        </w:rPr>
        <w:t xml:space="preserve">贝加莱在德国国际包装机械展（Interpack）（6号馆，展位E62）上展出SuperTrak。这款来自贝加莱的多功能运输系统是对包装4.0的重要贡献。这场智能制造的革命向消费品制造商承诺前所未有的全局设备效率（OEE）水平和大幅降低总体拥有成本（TCO）。</w:t>
      </w:r>
    </w:p>
    <w:p>
      <w:pPr>
        <w:pStyle w:val="par"/>
        <w:ind w:left="0"/>
      </w:pPr>
      <w:r>
        <w:rPr/>
        <w:t xml:space="preserve">SuperTrak基于长定子直线电机技术，是新一代、强大的、操作友好的智能运输技术。与迄今为止可用的类似系统不同，它提供真正的工业级可靠性和易用性。其独立控制的动子运送托盘允许批量生产高度定制化的产品，同时最大限度地减少停机和产品更换时间。</w:t>
      </w:r>
    </w:p>
    <w:p>
      <w:pPr>
        <w:pStyle w:val="label"/>
        <w:keepNext/>
        <w:ind w:left="0"/>
      </w:pPr>
      <w:r>
        <w:rPr>
          <w:b/>
          <w:sz w:val="20"/>
        </w:rPr>
        <w:t xml:space="preserve">无缝连接</w:t>
      </w:r>
    </w:p>
    <w:p>
      <w:pPr>
        <w:pStyle w:val="par"/>
        <w:ind w:left="0"/>
      </w:pPr>
      <w:r>
        <w:rPr/>
        <w:t xml:space="preserve">贝加莱还将展示POWERLINK，OMAC PackML和OPC UA等开放标准将如何实现相互间的无缝连接 - 这是工业物联网解决方案的命脉。从传感器到云，跨多厂商线和价值链，这种连接将带来运营效率的巨大飞跃。</w:t>
      </w:r>
    </w:p>
    <w:p>
      <w:pPr>
        <w:pStyle w:val="par"/>
        <w:ind w:left="0"/>
      </w:pPr>
      <w:r>
        <w:rPr/>
        <w:t xml:space="preserve">关于贝加莱对包装行业未来贡献的更多信息，可以在Packaging 4.0白皮书和其客户杂志的特别版中找到。请到访6号展厅E62展位，获取这两份资料。</w:t>
      </w:r>
    </w:p>
    <w:p/>
    <w:bookmarkStart w:id="6" w:name="_XREFN100C2"/>
    <w:bookmarkStart w:id="7" w:name="_XREFN1007E"/>
    <w:p>
      <w:pPr>
        <w:keepNext/>
        <w:spacing w:after="20" w:before="0"/>
        <w:ind w:left="0"/>
      </w:pPr>
      <w:r>
        <w:drawing>
          <wp:inline xmlns:wp="http://schemas.openxmlformats.org/drawingml/2006/wordprocessingDrawing" distB="0" distL="0" distR="0" distT="0">
            <wp:extent cx="3600000" cy="2400000"/>
            <wp:effectExtent b="0" l="0" r="0" t="0"/>
            <wp:docPr id="1" name="BnR Interpack Packag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Interpack Packaging 4.0"/>
                    <pic:cNvPicPr/>
                  </pic:nvPicPr>
                  <pic:blipFill>
                    <a:blip xmlns:r="http://schemas.openxmlformats.org/officeDocument/2006/relationships" cstate="print" r:embed="N1039A"/>
                    <a:stretch>
                      <a:fillRect/>
                    </a:stretch>
                  </pic:blipFill>
                  <pic:spPr>
                    <a:xfrm>
                      <a:off x="0" y="0"/>
                      <a:ext cx="3600000" cy="2400000"/>
                    </a:xfrm>
                    <a:prstGeom prst="rect">
                      <a:avLst/>
                    </a:prstGeom>
                  </pic:spPr>
                </pic:pic>
              </a:graphicData>
            </a:graphic>
          </wp:inline>
        </w:drawing>
      </w:r>
    </w:p>
    <w:p>
      <w:pPr>
        <w:pStyle w:val="media-caption"/>
        <w:ind w:left="0"/>
      </w:pPr>
      <w:r>
        <w:t xml:space="preserve">包装4.0承诺消费品制造商前所未有的全局设备效率（OEE）水平和大幅降低总体拥有成本（TCO）。</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