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Innovazione e manifattura intelligente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La centralità del dato e la sua ricchezza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Nel Palazzo della Cultura a Milano si è tenuta la Tavola Rotonda: “Innovazione e Manifattura Intelligente”, un’occasione di scambio che ha riunito e messo a confronto l’intera filiera produttiva italiana: dai fornitori di tecnologie abilitanti, ai costruttori di macchine automatiche, agli integratori di sistemi e all’industria manifatturiera.  </w:t>
      </w:r>
    </w:p>
    <w:p>
      <w:pPr>
        <w:pStyle w:val="par"/>
        <w:ind w:left="0"/>
      </w:pPr>
      <w:r>
        <w:rPr/>
        <w:t xml:space="preserve">Ogni attore al tavolo ha contribuito a fotografare l’attuale situazione italiana, delineando il livello di adozione e di maturità delle tecnologie per la digitalizzazione e l’ottimizzazione dei processi, evidenziando le criticità riscontrate nel quotidiano e tracciando i possibili risvolti  applicativi e le opportunità offerte dalla smart manufacturing. </w:t>
      </w:r>
    </w:p>
    <w:p>
      <w:pPr>
        <w:pStyle w:val="par"/>
        <w:ind w:left="0"/>
      </w:pPr>
      <w:r>
        <w:rPr/>
        <w:t xml:space="preserve">La giornata, promossa da B&amp;R, fornitore di sistemi di automazione e controllo, è stata moderata dall'ing. Pierantonio Palerma, direttore editoriale di Automazione Industriale e Automazione Integrata di TecnicheNuove, e dal prof. Giuseppe Padula dell'Università degli Studi di San Marino.  
Sono intervenuti: Silvano Casaro, Responsabile della Programmazione della produzione e Tracciabilità del prodotto in Rigoni di Asiago, Davide Buratti, R&amp;D Manager di Ocme, Riccardo Boatti, Quality Assurance Manager di Fedegari, Paolo Casiraghi, Titolare di PC-Project, Angelo Brioschi, Direttore Tecnico di Negri Bossi, Domenico Ghilardi, CEO di Roboline, Sergio Castagna, Titolare di Hubo, Daniele Lippi, Marketing Manager di Datalogic, e Nicoletta Ghironi, Marketing &amp; Communication Manager di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Idee, strategie ed esperienze dirette dall’industria per l’industria</w:t>
      </w:r>
    </w:p>
    <w:p>
      <w:pPr>
        <w:pStyle w:val="par"/>
        <w:ind w:left="0"/>
      </w:pPr>
      <w:r>
        <w:rPr/>
        <w:t xml:space="preserve">La centralità del dato, con la sua molteplice valenza e le criticità nella sua gestione, è stato il concetto più trasversale tra le esperienze esposte dalle aziende presenti, insieme ad altre parole chiave, tutte imprescindibili per realizzare una manifattura intelligente. L’acquisizione, la gestione e l’analisi sono azioni fondamentali per trasformare dati in informazioni utili, per rendere più efficiente il processo produttivo o per dar vita ai nuovi modelli di business più orientati al servizio, dove il B2B si fonderà con il B2C.  </w:t>
      </w:r>
    </w:p>
    <w:p>
      <w:pPr>
        <w:pStyle w:val="par"/>
        <w:ind w:left="0"/>
      </w:pPr>
      <w:r>
        <w:rPr/>
        <w:t xml:space="preserve">La centralità del cliente/utente, con esigenze sempre più impellenti e mutevoli, è emersa come la leva che spinge costruttori di macchine, integratori e industria manifatturiera a garantire la massima flessibilità in produzione. 
</w:t>
      </w:r>
    </w:p>
    <w:p>
      <w:pPr>
        <w:pStyle w:val="par"/>
        <w:ind w:left="0"/>
      </w:pPr>
      <w:r>
        <w:rPr/>
        <w:t xml:space="preserve">Modularità e scalabilità sono altri due concetti legati all’introduzione delle tecnologie dello smart manufacturing indispensabili, poiché le imprese, per dimensione e settore di attività, hanno esigenze diverse. Tutte, però, dalle piccole officine ai grandi gruppi industriali stanno vivendo la trasformazione del sistema industriale in atto. 
</w:t>
      </w:r>
    </w:p>
    <w:p>
      <w:pPr>
        <w:pStyle w:val="par"/>
        <w:ind w:left="0"/>
      </w:pPr>
      <w:r>
        <w:rPr/>
        <w:t xml:space="preserve">Standard comuni di connettività. Parlare un unico linguaggio per comprendersi e per interagire è basilare così come la necessità di formare nuove figure professionali più trasversali, un po’meno ingegneri e un po’ più matematici creativi. 
</w:t>
      </w:r>
    </w:p>
    <w:p>
      <w:pPr>
        <w:pStyle w:val="par"/>
        <w:ind w:left="0"/>
      </w:pPr>
      <w:r>
        <w:rPr/>
        <w:t xml:space="preserve">Le aziende, rappresentanti i principali interlocutori della filiera produttiva italiana, hanno esposto il proprio contributo “esperienziale”, con una visione unica e innovativa rispetto all’implementazione delle tecnologie di Industria 4.0, o di una parte di esse.  
Fondamentale interlocutore di questa filiera è la stessa B&amp;R, non solo in qualità di fornitore di tecnologie altamente innovative e di standard di connettività comuni, ma anche come soggetto che contribuisce alla diffusione di cultura tecnologica, di primo livello, forte delle collaborazioni con le aziende, costruite in anni di cooperazione.</w:t>
      </w:r>
    </w:p>
    <w:p/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Uno smart table tra aziende italiane di primo piano evidenzia strategie evolutive ed esperienze dirette nell’applicazione di tecnologie abilitanti per l’Industria 4.0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