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acquires B&amp;R</w:t>
      </w:r>
    </w:p>
    <w:p>
      <w:pPr>
        <w:pStyle w:val="label-first"/>
        <w:keepNext/>
        <w:ind w:left="0"/>
      </w:pPr>
      <w:r>
        <w:rPr>
          <w:b/>
          <w:sz w:val="20"/>
        </w:rPr>
        <w:t xml:space="preserve">ABB acquires B&amp;R to create a uniquely comprehensive automation portfolio for customers.</w:t>
      </w:r>
    </w:p>
    <w:p>
      <w:pPr>
        <w:pStyle w:val="par-first"/>
        <w:ind w:left="0"/>
        <w:jc w:val="left"/>
      </w:pPr>
      <w:r>
        <w:rPr>
          <w:i/>
          <w:i/>
        </w:rPr>
        <w:t xml:space="preserve">By combining B&amp;R with ABB, we will be able to provide you with an unmatched, comprehensive industrial automation offering – globally and across the entire spectrum of technology and software solutions in the areas of measurement, control, actuation, robotics, electrification and digitalization.</w:t>
      </w:r>
    </w:p>
    <w:p>
      <w:pPr>
        <w:pStyle w:val="par"/>
        <w:ind w:left="0"/>
      </w:pPr>
      <w:r>
        <w:rPr/>
        <w:t xml:space="preserve">For more information, please visit </w:t>
      </w:r>
      <w:r>
        <w:rPr/>
        <w:fldChar w:fldCharType="begin"/>
      </w:r>
      <w:r>
        <w:rPr/>
        <w:instrText xml:space="preserve">HYPERLINK "http://www.abb.com/ia4es"</w:instrText>
      </w:r>
      <w:r>
        <w:fldChar w:fldCharType="separate"/>
      </w:r>
      <w:r>
        <w:rPr/>
        <w:t>http://www.abb.com/ia4es</w:t>
      </w:r>
      <w:r>
        <w:fldChar w:fldCharType="end"/>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4007"/>
            <wp:effectExtent b="0" l="0" r="0" t="0"/>
            <wp:docPr id="1" name="ABB-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BR"/>
                    <pic:cNvPicPr/>
                  </pic:nvPicPr>
                  <pic:blipFill>
                    <a:blip xmlns:r="http://schemas.openxmlformats.org/officeDocument/2006/relationships" cstate="print" r:embed="N1037F"/>
                    <a:stretch>
                      <a:fillRect/>
                    </a:stretch>
                  </pic:blipFill>
                  <pic:spPr>
                    <a:xfrm>
                      <a:off x="0" y="0"/>
                      <a:ext cx="3600000" cy="2404007"/>
                    </a:xfrm>
                    <a:prstGeom prst="rect">
                      <a:avLst/>
                    </a:prstGeom>
                  </pic:spPr>
                </pic:pic>
              </a:graphicData>
            </a:graphic>
          </wp:inline>
        </w:drawing>
      </w:r>
    </w:p>
    <w:p>
      <w:pPr>
        <w:pStyle w:val="media-caption"/>
        <w:ind w:left="0"/>
      </w:pPr>
      <w:r>
        <w:t xml:space="preserve">ABB acquires B&amp;R to create a uniquely comprehensive automation portfolio for customers.</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