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Aumente a produtividade com anti-sloshing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Transportar líquidos mais rapidamente sem derrames 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o sistema de transporte industrial da B&amp;R, agora é possível transportar líquidos rapidamente sem derrames. O SuperTrak é o único sistema no mercado a oferecer tecnologia anti-sloshing. Esta tecnologia suprime a formação de oscilações em superfícies livres para evitar que os líquidos se espalhem sobre os bordos do recipiente durante o transporte. 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Não há derrames de recipientes abertos</w:t>
      </w:r>
    </w:p>
    <w:p>
      <w:pPr>
        <w:pStyle w:val="par"/>
        <w:ind w:left="0"/>
      </w:pPr>
      <w:r>
        <w:rPr/>
        <w:t xml:space="preserve">O termo slosh é usado para descrever o comportamento de líquidos em recipientes móveis. Perfis de movimento especialmente projetados impedem o desenvolvimento de laços de feedback positivo na superfície do líquido para que ele permaneça calmo durante o transporte. Isso minimiza o tempo de inatividade e aumenta a produtividade ao manusear contêineres abertos.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Produção com velocidade mais elevada</w:t>
      </w:r>
    </w:p>
    <w:p>
      <w:pPr>
        <w:pStyle w:val="par"/>
        <w:ind w:left="0"/>
      </w:pPr>
      <w:r>
        <w:rPr/>
        <w:t xml:space="preserve">Minimizar as oscilações na superfície dos líquidos é particularmente importante na indústria de embalagens. Quanto melhor você for capaz de controlar o sloshing, mais rápido os produtos podem ser transportados. A sofisticada tecnologia antideslizante da B&amp;R também evita a formação de bolhas de ar e espuma. O tempo de inatividade necessário para permitir que o líquido se deposite seja reduzido drasticamente ou eliminado completamente para uma melhoria substancial na produtividade da linha de embalagem.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ntisloshing P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isloshing Presse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Como o único sistema no mercado, o SuperTrak oferece tecnologia anti-sloshing que suprime a formação de oscilações de superfície para evitar que os líquidos se espalhem durante o transporte. 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