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谁更懂印刷机控制？</w:t>
      </w:r>
    </w:p>
    <w:p>
      <w:pPr>
        <w:pStyle w:val="par-first"/>
        <w:ind w:left="0"/>
        <w:jc w:val="left"/>
      </w:pPr>
      <w:r>
        <w:rPr>
          <w:i/>
          <w:i/>
        </w:rPr>
        <w:t xml:space="preserve">5月9日-13日，贝加莱携成熟、先进的专业方案，与您相聚第九届北京国际印刷技术博览会。</w:t>
      </w:r>
    </w:p>
    <w:p>
      <w:pPr>
        <w:pStyle w:val="par"/>
        <w:ind w:left="0"/>
      </w:pPr>
      <w:r>
        <w:rPr/>
        <w:t xml:space="preserve">印刷机械是最为广泛的应用领域，贝加莱是这一领域里最为重要的控制系统提供商，堪称隐形冠军。</w:t>
      </w:r>
    </w:p>
    <w:p>
      <w:pPr>
        <w:pStyle w:val="label-first"/>
        <w:keepNext/>
        <w:ind w:left="0"/>
      </w:pPr>
      <w:r>
        <w:rPr>
          <w:b/>
          <w:sz w:val="20"/>
        </w:rPr>
        <w:t xml:space="preserve">小批量多品种印刷</w:t>
      </w:r>
    </w:p>
    <w:p>
      <w:pPr>
        <w:pStyle w:val="par"/>
        <w:ind w:left="0"/>
      </w:pPr>
      <w:r>
        <w:rPr/>
        <w:t xml:space="preserve">今天大家探讨个性化生产，而在印刷工业一直有一个目标，即“Print on Demand”。数字印刷技术让这一目标得以实现。已经有数家知名的数字印刷设备制造商，通过采用来自B&amp;R的控制系统，使数字印刷成为小批量多品种印刷的主力。 </w:t>
      </w:r>
    </w:p>
    <w:p>
      <w:pPr>
        <w:pStyle w:val="par"/>
        <w:ind w:left="0"/>
      </w:pPr>
      <w:r>
        <w:rPr/>
        <w:t xml:space="preserve">采用贝加莱的控制系统，可以确保在开机阶段快速的进入套准状态，最大限度的降低纸路浪费。同时提供更好的适应性和高鲁棒性，以便机器在更换订单时灵活地适应不同的印刷材料。从而大大节约换单成本。 </w:t>
      </w:r>
    </w:p>
    <w:p>
      <w:pPr>
        <w:pStyle w:val="par"/>
        <w:ind w:left="0"/>
      </w:pPr>
      <w:r>
        <w:rPr/>
        <w:t xml:space="preserve">无轴传动和直接驱动技术均已成为广泛采用的印刷控制方案，自2003年开发第一台无轴传动机器至今，贝加莱已经在无轴传动技术领域有10多年的经验，以及数百台机器的运营。贝加莱方案的亮点包括：相位恢复功能、集成套色功能以及专用色标检测技术。 </w:t>
      </w:r>
    </w:p>
    <w:p>
      <w:pPr>
        <w:pStyle w:val="label"/>
        <w:keepNext/>
        <w:ind w:left="0"/>
      </w:pPr>
      <w:r>
        <w:rPr>
          <w:b/>
          <w:sz w:val="20"/>
        </w:rPr>
        <w:t xml:space="preserve">生产运行管理</w:t>
      </w:r>
    </w:p>
    <w:p>
      <w:pPr>
        <w:pStyle w:val="par"/>
        <w:ind w:left="0"/>
      </w:pPr>
      <w:r>
        <w:rPr/>
        <w:t xml:space="preserve">对于印刷工厂而言，OEE是一个关键指标，作为评估机器运行与投资评估的保障，在贝加莱为印刷设备提供的系统中，包括了生产运营管理的设计。</w:t>
      </w:r>
    </w:p>
    <w:p>
      <w:pPr>
        <w:pStyle w:val="label"/>
        <w:keepNext/>
        <w:ind w:left="0"/>
      </w:pPr>
      <w:r>
        <w:rPr>
          <w:b/>
          <w:sz w:val="20"/>
        </w:rPr>
        <w:t xml:space="preserve">智能维护技术</w:t>
      </w:r>
    </w:p>
    <w:p>
      <w:pPr>
        <w:pStyle w:val="par"/>
        <w:ind w:left="0"/>
      </w:pPr>
      <w:r>
        <w:rPr/>
        <w:t xml:space="preserve">贝加莱为印刷设备提供了多种电气、工艺、资产管理、组件等多种方式的维护管理，确保了设备全面性维护的有效进行。</w:t>
      </w:r>
    </w:p>
    <w:p>
      <w:pPr>
        <w:pStyle w:val="label"/>
        <w:keepNext/>
        <w:ind w:left="0"/>
      </w:pPr>
      <w:r>
        <w:rPr>
          <w:b/>
          <w:sz w:val="20"/>
        </w:rPr>
        <w:t xml:space="preserve">机器互联与物联网</w:t>
      </w:r>
    </w:p>
    <w:p>
      <w:pPr>
        <w:pStyle w:val="par"/>
        <w:ind w:left="0"/>
      </w:pPr>
      <w:r>
        <w:rPr/>
        <w:t xml:space="preserve">贝加莱的APROL平台作为边缘节点可以为整个印刷工厂提供生产运营的数据采集PDA、能源监测EnMon、运维管理的ConMon，并对于质量、变更、订单进行管理，进而实现有效的互联生产。</w:t>
      </w:r>
    </w:p>
    <w:p>
      <w:pPr>
        <w:pStyle w:val="label"/>
        <w:keepNext/>
        <w:ind w:left="0"/>
      </w:pPr>
      <w:r>
        <w:rPr>
          <w:b/>
          <w:sz w:val="20"/>
        </w:rPr>
        <w:t xml:space="preserve">贝加莱与您相约CHINA PRINT，展馆E3，展台号：103</w:t>
      </w:r>
    </w:p>
    <w:p>
      <w:pPr>
        <w:pStyle w:val="par"/>
        <w:ind w:left="0"/>
      </w:pPr>
      <w:r>
        <w:rPr>
          <w:b/>
        </w:rPr>
        <w:t xml:space="preserve">关注贝加莱公众号，阅读全文：</w:t>
      </w:r>
    </w:p>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220627"/>
            <wp:effectExtent b="0" l="0" r="0" t="0"/>
            <wp:docPr id="1" na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1"/>
                    <pic:cNvPicPr/>
                  </pic:nvPicPr>
                  <pic:blipFill>
                    <a:blip xmlns:r="http://schemas.openxmlformats.org/officeDocument/2006/relationships" cstate="print" r:embed="N10429"/>
                    <a:stretch>
                      <a:fillRect/>
                    </a:stretch>
                  </pic:blipFill>
                  <pic:spPr>
                    <a:xfrm>
                      <a:off x="0" y="0"/>
                      <a:ext cx="3600000" cy="2220627"/>
                    </a:xfrm>
                    <a:prstGeom prst="rect">
                      <a:avLst/>
                    </a:prstGeom>
                  </pic:spPr>
                </pic:pic>
              </a:graphicData>
            </a:graphic>
          </wp:inline>
        </w:drawing>
      </w:r>
    </w:p>
    <w:p>
      <w:pPr>
        <w:pStyle w:val="media-caption"/>
        <w:ind w:left="0"/>
      </w:pPr>
      <w:r>
        <w:t xml:space="preserve">印刷工业发展趋势概要总结</w:t>
      </w:r>
    </w:p>
    <w:bookmarkEnd w:id="12"/>
    <w:bookmarkEnd w:id="11"/>
    <w:bookmarkStart w:id="13" w:name="_XREFN10120"/>
    <w:bookmarkStart w:id="14" w:name="_XREFN10125"/>
    <w:p>
      <w:pPr>
        <w:spacing w:after="200" w:before="0"/>
        <w:ind w:left="0"/>
      </w:pPr>
      <w:r>
        <w:drawing>
          <wp:inline xmlns:wp="http://schemas.openxmlformats.org/drawingml/2006/wordprocessingDrawing" distB="0" distL="0" distR="0" distT="0">
            <wp:extent cx="3098800" cy="3098800"/>
            <wp:effectExtent b="0" l="0" r="0" t="0"/>
            <wp:docPr id="2" name="QR_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_Code"/>
                    <pic:cNvPicPr/>
                  </pic:nvPicPr>
                  <pic:blipFill>
                    <a:blip xmlns:r="http://schemas.openxmlformats.org/officeDocument/2006/relationships" cstate="print" r:embed="N10477"/>
                    <a:stretch>
                      <a:fillRect/>
                    </a:stretch>
                  </pic:blipFill>
                  <pic:spPr>
                    <a:xfrm>
                      <a:off x="0" y="0"/>
                      <a:ext cx="3098800" cy="3098800"/>
                    </a:xfrm>
                    <a:prstGeom prst="rect">
                      <a:avLst/>
                    </a:prstGeom>
                  </pic:spPr>
                </pic:pic>
              </a:graphicData>
            </a:graphic>
          </wp:inline>
        </w:drawing>
      </w:r>
    </w:p>
    <w:bookmarkEnd w:id="14"/>
    <w:bookmarkEnd w:id="13"/>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EE" w:type="default"/>
      <w:footerReference xmlns:r="http://schemas.openxmlformats.org/officeDocument/2006/relationships" r:id="N1058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5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EE" Target="header1.xml" Type="http://schemas.openxmlformats.org/officeDocument/2006/relationships/header"/><Relationship Id="N10582" Target="footer1.xml" Type="http://schemas.openxmlformats.org/officeDocument/2006/relationships/footer"/><Relationship Id="N10429" Target="media/N10429.jpg" Type="http://schemas.openxmlformats.org/officeDocument/2006/relationships/image"/><Relationship Id="N10477" Target="media/N1047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5" Target="media/N1055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