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Aumento de desempenho para o Automation PC 910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PC Industrial B&amp;R agora disponível com o processador Intel XEON</w:t>
      </w:r>
    </w:p>
    <w:p>
      <w:pPr>
        <w:pStyle w:val="par-first"/>
        <w:ind w:left="0"/>
        <w:jc w:val="left"/>
      </w:pPr>
      <w:r>
        <w:rPr>
          <w:i/>
          <w:i/>
        </w:rPr>
        <w:t xml:space="preserve">O Automation PC 910 da B&amp;R agora está disponível opcionalmente com um processador Intel Xeon. A nova microarquitetura fornece um aumento de desempenho de 50% em comparação com os processadores Core i de alto desempenho anteriores. Esse nível de desempenho permite o gerenciamento efetivo de todos os aplicativos que requerem uma análise rápida de grandes quantidades de dados, como visão computacional, preparação de dados para aplicativos em nuvem e mineração de dados para coleta e análise de dados de qualidade.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Máximo desempenho para tarefas complexas</w:t>
      </w:r>
    </w:p>
    <w:p>
      <w:pPr>
        <w:pStyle w:val="par"/>
        <w:ind w:left="0"/>
      </w:pPr>
      <w:r>
        <w:rPr/>
        <w:t xml:space="preserve">Toda a gama de processadores disponíveis para o Automation PC 910 fornece o máximo poder de computação para as tarefas mais complexas. O novo processador Xeon quad-core agora oferece ao Automation PC 910 uma opção de CPU anteriormente restrita à grandes servidores. </w:t>
      </w:r>
    </w:p>
    <w:p>
      <w:pPr>
        <w:pStyle w:val="par"/>
        <w:ind w:left="0"/>
      </w:pPr>
      <w:r>
        <w:rPr/>
        <w:t xml:space="preserve">A série Automation PC 910 continua a oferecer todas as vantagens do seu design totalmente modular. As três variantes de gabinete disponíveis possuem entre um e cinco slots de expansão, que podem conter uma grande variedade de placas de interface e dispositivos de armazenamento de dados. Os sistemas operacionais padrão do Windows 10 IoT Enterprise e Linux estão disponíveis para o novo processador.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16500"/>
            <wp:effectExtent b="0" l="0" r="0" t="0"/>
            <wp:docPr id="1" name="APC910_WireFrame plus Intel Xeon process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C910_WireFrame plus Intel Xeon processor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 Automation PC 910 da B&amp;R agora também está disponível com um processador Intel Xeon. O alto desempenho é ideal para aplicações exigentes, como a visão computacional.  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0D" w:type="default"/>
      <w:footerReference xmlns:r="http://schemas.openxmlformats.org/officeDocument/2006/relationships" r:id="N104A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D" Target="header1.xml" Type="http://schemas.openxmlformats.org/officeDocument/2006/relationships/header"/><Relationship Id="N104A1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4" Target="media/N1047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