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NCDC Business Race - relacja</w:t>
      </w:r>
    </w:p>
    <w:p>
      <w:pPr>
        <w:pStyle w:val="headline-content-1"/>
        <w:keepNext/>
      </w:pPr>
      <w:r>
        <w:rPr>
          <w:rStyle w:val="headline-content-run1"/>
          <w:sz w:val="16"/>
        </w:rPr>
        <w:t xml:space="preserve">Z biura na sztafety</w:t>
      </w:r>
    </w:p>
    <w:p>
      <w:pPr>
        <w:pStyle w:val="label-first"/>
        <w:keepNext/>
        <w:ind w:left="0"/>
      </w:pPr>
    </w:p>
    <w:p>
      <w:pPr>
        <w:pStyle w:val="label"/>
        <w:keepNext/>
        <w:ind w:left="0"/>
      </w:pPr>
    </w:p>
    <w:p>
      <w:pPr>
        <w:pStyle w:val="par-first"/>
        <w:ind w:left="0"/>
        <w:jc w:val="left"/>
      </w:pPr>
    </w:p>
    <w:p>
      <w:pPr>
        <w:pStyle w:val="label"/>
        <w:keepNext/>
        <w:ind w:left="0"/>
      </w:pPr>
    </w:p>
    <w:p>
      <w:pPr>
        <w:pStyle w:val="par"/>
        <w:ind w:left="0"/>
      </w:pPr>
      <w:r>
        <w:rPr>
          <w:b/>
        </w:rPr>
        <w:t xml:space="preserve">Pracownicy B&amp;R lubią sport, zarówno uprawiany indywidualnie, jak i w zespole, czego dowodem jest udział w NCDC Business Race. Jest to bieg sztafetowy dla firm, insytucji i organizacji działających na terenie Szczecina oraz okolic. </w:t>
      </w:r>
    </w:p>
    <w:p>
      <w:pPr>
        <w:pStyle w:val="par"/>
        <w:ind w:left="0"/>
      </w:pPr>
      <w:r>
        <w:rPr/>
        <w:t xml:space="preserve">Impreza biegowa odbyła się 10 czerwca w malowniczym Parku Kasprowicza. Inicjatorem wydarzenia była polsko-duńska firma NCDC, która inspirację zaczerpnęła z Danii, gdzie biegi sztafetowe wśród firm, są już stałym elementem kultury.  </w:t>
      </w:r>
    </w:p>
    <w:p>
      <w:pPr>
        <w:pStyle w:val="par"/>
        <w:ind w:left="0"/>
      </w:pPr>
      <w:r>
        <w:rPr/>
        <w:t xml:space="preserve">Zawodnicy B&amp;R pod szyldem B&amp;R Running Team mogli sprawdzić się w czterokilometrowej trasie (4 x 4 km) na zróżnicowanym terenie, co pozwoliło im wykazać sportowe zacięcie. Rywalizacja była niemała, wystartowało bowiem ponad 200 firm, z różnych branż, w tym nasi klienci. 
Organizatorzy staneli na wysokości zadania. Wyścig został połączony z piknikiem, który stał sie przyczynkiem do wspólnych rozmów, posiłku i przede wszystkim relaksu po emocjach zwiazanych ze sportową rywalizacją. Poza sportowym  duchem, zawodnikom towarzyszyła aura zabawy i integracji. Uwieńczeniem wysiłków było uhonorowanie biegaczy medalami podczas wspólnego biesiadowania. 
NCDC Business Race to nie tylko jednodniowy wyścig, to również spotkania załogi na wspólnych treningach, spotkanie podczas pasta party, wspólny czas „po godzinach”, dlatego jest to czas, który buduje przyjaźnie i relacje w zespole.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9414"/>
            <wp:effectExtent b="0" l="0" r="0" t="0"/>
            <wp:docPr id="1" name="NCDC Business Race zdję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C Business Race zdjęcie"/>
                    <pic:cNvPicPr/>
                  </pic:nvPicPr>
                  <pic:blipFill>
                    <a:blip xmlns:r="http://schemas.openxmlformats.org/officeDocument/2006/relationships" cstate="print" r:embed="N10396"/>
                    <a:stretch>
                      <a:fillRect/>
                    </a:stretch>
                  </pic:blipFill>
                  <pic:spPr>
                    <a:xfrm>
                      <a:off x="0" y="0"/>
                      <a:ext cx="3600000" cy="2399414"/>
                    </a:xfrm>
                    <a:prstGeom prst="rect">
                      <a:avLst/>
                    </a:prstGeom>
                  </pic:spPr>
                </pic:pic>
              </a:graphicData>
            </a:graphic>
          </wp:inline>
        </w:drawing>
      </w:r>
    </w:p>
    <w:p>
      <w:pPr>
        <w:pStyle w:val="media-caption"/>
        <w:ind w:left="0"/>
      </w:pPr>
      <w:r>
        <w:t xml:space="preserve">Zawodnicy B&amp;R Running Team podczas NCDC Business Race</w:t>
      </w:r>
    </w:p>
    <w:bookmarkEnd w:id="8"/>
    <w:bookmarkEnd w:id="7"/>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6" Target="media/N1039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