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Vibrationen und Klima im Blick</w:t>
      </w:r>
    </w:p>
    <w:p>
      <w:pPr>
        <w:pStyle w:val="label-first"/>
        <w:keepNext/>
        <w:ind w:left="0"/>
      </w:pPr>
      <w:r>
        <w:rPr>
          <w:b/>
          <w:sz w:val="20"/>
        </w:rPr>
        <w:t xml:space="preserve">B&amp;R präsentiert neue I/O-Module für die Überwachung von Schaltschränken</w:t>
      </w:r>
    </w:p>
    <w:p>
      <w:pPr>
        <w:pStyle w:val="par-first"/>
        <w:ind w:left="0"/>
        <w:jc w:val="left"/>
      </w:pPr>
      <w:r>
        <w:rPr>
          <w:i/>
          <w:i/>
        </w:rPr>
        <w:t xml:space="preserve">Mit drei neuen I/O-Modulen der </w:t>
      </w:r>
      <w:r>
        <w:rPr>
          <w:i/>
          <w:i/>
        </w:rPr>
        <w:t>X20-Serie</w:t>
      </w:r>
      <w:r>
        <w:rPr>
          <w:i/>
          <w:i/>
        </w:rPr>
        <w:t xml:space="preserve"> erleichtert B&amp;R die Überwachung von Schaltschränken. Alle drei Ausführungen messen die Temperatur und die Luftfeuchtigkeit im Schaltschrank und speichern, wie lange die Werte in definierten Bereichen liegen. So lassen sich kritische Umgebungsbedingungen auch im Nachhinein auswerten. Zudem werden die Betriebsstunden und die Power-On-Zyklen im Modul gespeichert. </w:t>
      </w:r>
    </w:p>
    <w:p>
      <w:pPr>
        <w:pStyle w:val="label"/>
        <w:keepNext/>
        <w:ind w:left="0"/>
      </w:pPr>
      <w:r>
        <w:rPr>
          <w:b/>
          <w:sz w:val="20"/>
        </w:rPr>
        <w:t xml:space="preserve">Rezepte dauerhaft speichern</w:t>
      </w:r>
    </w:p>
    <w:p>
      <w:pPr>
        <w:pStyle w:val="par"/>
        <w:ind w:left="0"/>
      </w:pPr>
      <w:r>
        <w:rPr/>
        <w:t xml:space="preserve">Die Modelle X20CMR010 und X20CMR111 sind zudem mit 512kB nicht-flüchtigem User-Speicher ausgestattet. Der Speicher funktioniert ohne Batterie und ist daher wartungsfrei. Er kann genutzt werden, um Rezeptinformationen oder weitere Daten zu speichern. Muss die Steuerung getauscht werden, bleiben die Daten erhalten. </w:t>
      </w:r>
    </w:p>
    <w:p>
      <w:pPr>
        <w:pStyle w:val="label"/>
        <w:keepNext/>
        <w:ind w:left="0"/>
      </w:pPr>
      <w:r>
        <w:rPr>
          <w:b/>
          <w:sz w:val="20"/>
        </w:rPr>
        <w:t xml:space="preserve">Integrierter Technology Guard</w:t>
      </w:r>
    </w:p>
    <w:p>
      <w:pPr>
        <w:pStyle w:val="par"/>
        <w:ind w:left="0"/>
      </w:pPr>
      <w:r>
        <w:rPr/>
        <w:t xml:space="preserve">Zwei der neuen I/O-Module dienen als </w:t>
      </w:r>
      <w:r>
        <w:rPr/>
        <w:t>Technology Guard</w:t>
      </w:r>
      <w:r>
        <w:rPr/>
        <w:t xml:space="preserve"> und können zur Lizenzierung von Software verwendet werden. Das ist besonders hilfreich, wenn keine USB-Schnittstelle für den Dongle zur Verfügung steht oder die USB-Schnittstelle aus Security-Gründen nicht verwendet werden darf.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90"/>
            <wp:effectExtent b="0" l="0" r="0" t="0"/>
            <wp:docPr id="1" name="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inet"/>
                    <pic:cNvPicPr/>
                  </pic:nvPicPr>
                  <pic:blipFill>
                    <a:blip xmlns:r="http://schemas.openxmlformats.org/officeDocument/2006/relationships" cstate="print" r:embed="N103C3"/>
                    <a:stretch>
                      <a:fillRect/>
                    </a:stretch>
                  </pic:blipFill>
                  <pic:spPr>
                    <a:xfrm>
                      <a:off x="0" y="0"/>
                      <a:ext cx="3600000" cy="2398590"/>
                    </a:xfrm>
                    <a:prstGeom prst="rect">
                      <a:avLst/>
                    </a:prstGeom>
                  </pic:spPr>
                </pic:pic>
              </a:graphicData>
            </a:graphic>
          </wp:inline>
        </w:drawing>
      </w:r>
    </w:p>
    <w:p>
      <w:pPr>
        <w:pStyle w:val="media-caption"/>
        <w:ind w:left="0"/>
      </w:pPr>
      <w:r>
        <w:t xml:space="preserve">Die neuen I/O-Module messen die Temperatur und die Luftfeuchtigkeit im Schaltschrank und speichern, wie lange die Werte in definierten Bereichen liegen.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5" w:type="default"/>
      <w:footerReference xmlns:r="http://schemas.openxmlformats.org/officeDocument/2006/relationships" r:id="N104D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5" Target="header1.xml" Type="http://schemas.openxmlformats.org/officeDocument/2006/relationships/header"/><Relationship Id="N104D9" Target="footer1.xml" Type="http://schemas.openxmlformats.org/officeDocument/2006/relationships/footer"/><Relationship Id="N103C3" Target="media/N103C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C" Target="media/N104A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