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integrerer ’vision’ i maskinautomatisering</w:t>
      </w:r>
    </w:p>
    <w:p>
      <w:pPr>
        <w:pStyle w:val="label-first"/>
        <w:keepNext/>
        <w:ind w:left="0"/>
      </w:pPr>
      <w:r>
        <w:rPr>
          <w:b/>
          <w:sz w:val="20"/>
        </w:rPr>
        <w:t xml:space="preserve">Automationsspecialist introducerer billedbehandlingsløsning</w:t>
      </w:r>
    </w:p>
    <w:p>
      <w:pPr>
        <w:pStyle w:val="par-first"/>
        <w:ind w:left="0"/>
        <w:jc w:val="left"/>
      </w:pPr>
      <w:r>
        <w:rPr>
          <w:i/>
          <w:i/>
        </w:rPr>
        <w:t xml:space="preserve">B&amp;R gør </w:t>
      </w:r>
      <w:r>
        <w:rPr>
          <w:i/>
          <w:i/>
        </w:rPr>
        <w:t>machine vision</w:t>
      </w:r>
      <w:r>
        <w:rPr>
          <w:i/>
          <w:i/>
        </w:rPr>
        <w:t xml:space="preserve"> til et integreret element i automationsøkosystemet.  På dette års SPS IPC Drives i Nürnberg introducerede B&amp;R verdens første billedbehandlingsløsning, der problemfrit integreres i automationssystemet. Løsningen omfatter kameraer, software og lystilbehør.</w:t>
      </w:r>
    </w:p>
    <w:p>
      <w:pPr>
        <w:pStyle w:val="par"/>
        <w:ind w:left="0"/>
      </w:pPr>
      <w:r>
        <w:rPr/>
        <w:t xml:space="preserve">Kernen i løsningen er et bredt udvalg af intelligent kamerateknologi. Valgmulighederne i den nedre ende vil erstatte enkle machine vision-sensorer, mens udvalget i den øvre ende vil udnytte det fulde potentiale i avancerede smart-kameraer. Ready-made softwarekomponenter er tilgængelige for at skabe applikationer med minimal ny programmering.</w:t>
      </w:r>
    </w:p>
    <w:p>
      <w:pPr>
        <w:pStyle w:val="label"/>
        <w:keepNext/>
        <w:ind w:left="0"/>
      </w:pPr>
      <w:r>
        <w:rPr>
          <w:b/>
          <w:sz w:val="20"/>
        </w:rPr>
        <w:t xml:space="preserve">Intelligent belysning</w:t>
      </w:r>
    </w:p>
    <w:p>
      <w:pPr>
        <w:pStyle w:val="par"/>
        <w:ind w:left="0"/>
      </w:pPr>
      <w:r>
        <w:rPr/>
        <w:t xml:space="preserve">Belysningselementer er tilgængelige enten integreret i kameraet eller som en ekstern en-hed - eller endda som en kombination af de to. Ekstremt præcis synkronisering til billedoptagelse med høj hastighed og objektspecifikke funktioner som bright-field- eller dark-field-oplysning er nemt at implementere. Billedudløsere og belysningskontrol kan synkroniseres med resten af automationssystemet i hård realtid og med sub-mikrosekund-nøjagtighed. </w:t>
      </w:r>
    </w:p>
    <w:p>
      <w:pPr>
        <w:pStyle w:val="par"/>
        <w:ind w:left="0"/>
      </w:pPr>
      <w:r>
        <w:rPr/>
        <w:t xml:space="preserve">B&amp;R's machine vision-system er integreret på alle niveauer, både i udviklingsværktøjet, operativsystemet i realtid og applikationssoftwaren.  Med et enkelt udviklingsmiljø til alle aspekter af automatisering vil kontrolingeniører nu være i stand til selv at implementere mange machine vision-opgaver.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B&amp;R’s machine vision-portefølje spænder fra simple vision-sensorer til avancerede smart-kameraer.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8" w:type="default"/>
      <w:footerReference xmlns:r="http://schemas.openxmlformats.org/officeDocument/2006/relationships" r:id="N104F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8" Target="header1.xml" Type="http://schemas.openxmlformats.org/officeDocument/2006/relationships/header"/><Relationship Id="N104FC"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F" Target="media/N104C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