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integrates vision into machine automation</w:t>
      </w:r>
    </w:p>
    <w:p>
      <w:pPr>
        <w:pStyle w:val="label-first"/>
        <w:keepNext/>
        <w:ind w:left="0"/>
      </w:pPr>
      <w:r>
        <w:rPr>
          <w:b/>
          <w:sz w:val="20"/>
        </w:rPr>
        <w:t xml:space="preserve">Automation specialist introduces image processing solution</w:t>
      </w:r>
    </w:p>
    <w:p>
      <w:pPr>
        <w:pStyle w:val="par-first"/>
        <w:ind w:left="0"/>
        <w:jc w:val="left"/>
      </w:pPr>
      <w:r>
        <w:rPr>
          <w:i/>
          <w:i/>
        </w:rPr>
        <w:t xml:space="preserve">B&amp;R makes </w:t>
      </w:r>
      <w:r>
        <w:rPr>
          <w:i/>
          <w:i/>
        </w:rPr>
        <w:t>machine vision</w:t>
      </w:r>
      <w:r>
        <w:rPr>
          <w:i/>
          <w:i/>
        </w:rPr>
        <w:t xml:space="preserve"> an integral element of the automation ecosystem. At this year's SPS IPC Drives, B&amp;R introduced the world's first image processing solution to be seamlessly incorporated in the automation system. The solution comprises cameras, software and lighting accessories.</w:t>
      </w:r>
    </w:p>
    <w:p>
      <w:pPr>
        <w:pStyle w:val="par"/>
        <w:ind w:left="0"/>
      </w:pPr>
      <w:r>
        <w:rPr/>
        <w:t xml:space="preserve">At the heart of the solution is a broad selection of intelligent camera technology. Options at the lower end will replace simple machine vision sensors, while the top of the range will harness the full potential of high-end smart cameras. Ready-made software components are available for creating applications with minimal new programming.</w:t>
      </w:r>
    </w:p>
    <w:p>
      <w:pPr>
        <w:pStyle w:val="label"/>
        <w:keepNext/>
        <w:ind w:left="0"/>
      </w:pPr>
      <w:r>
        <w:rPr>
          <w:b/>
          <w:sz w:val="20"/>
        </w:rPr>
        <w:t xml:space="preserve">Intelligent lighting</w:t>
      </w:r>
    </w:p>
    <w:p>
      <w:pPr>
        <w:pStyle w:val="par"/>
        <w:ind w:left="0"/>
      </w:pPr>
      <w:r>
        <w:rPr/>
        <w:t xml:space="preserve">Lighting elements are available integrated in the camera, as an external device, or even as a combination of the two. Extremely precise synchronization for high-speed image capture and object-specific functions such as bright-field or dark-field illumination are easy to implement. Image triggers and lighting control can be synchronized with the rest of the automation system in hard real time and with sub-microsecond precision. </w:t>
      </w:r>
    </w:p>
    <w:p>
      <w:pPr>
        <w:pStyle w:val="par"/>
        <w:ind w:left="0"/>
      </w:pPr>
      <w:r>
        <w:rPr/>
        <w:t xml:space="preserve">B&amp;R's machine vision system is integrated on every level: the engineering tool, the real-time operating system and the application software. With a single development environment for every aspect of automation, controls engineers will now be able to implement many machine vision tasks on their own.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B&amp;R's machine vision portfolio ranges from simple vision sensors to high-end smart cameras.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