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Innovation Days vom 6. bis 7. März 2018 in Bad Homburg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Teilnehmer erwarten Fachvorträge und Workshops rund um Innovationen für den Maschinenbau</w:t>
      </w:r>
    </w:p>
    <w:p>
      <w:pPr>
        <w:pStyle w:val="par-first"/>
        <w:ind w:left="0"/>
        <w:jc w:val="left"/>
      </w:pPr>
      <w:r>
        <w:rPr>
          <w:i/>
          <w:i/>
        </w:rPr>
        <w:t xml:space="preserve">Auf den Innovation Days bietet B&amp;R den Besuchern ein umfangreiches Programm zu aktuellen Themen des Maschinen- und Anlagenbaus sowie der Prozess- und Fabrikautomatisierung. Im Fokus stehen 2018 die Leitthemen Industrial IoT, ACOPOStrak und mapp Technology. Wie sich mit diesen Lösungen die Smart Factory realisieren lässt, erfahren Besucher in Fachvorträgen und Workshops.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Parallelsessions und -Workshops</w:t>
      </w:r>
    </w:p>
    <w:p>
      <w:pPr>
        <w:pStyle w:val="par"/>
        <w:ind w:left="0"/>
      </w:pPr>
      <w:r>
        <w:rPr/>
        <w:t xml:space="preserve">Die Veranstaltung präsentiert sich mit neuem Konzept: Die Teilnehmer wählen nun zwischen verschiedenen Themen und Seminartiefen. „Damit kann sich jeder Teilnehmer seine individuelle Veranstaltung selbst zusammenstellen“, sagt Markus Sandhöfner, Geschäftsführer B&amp;R Deutschland. Abgerundet wird das Programm durch Fachvorträge von Gastreferenten zu Trendthemen in der Automatisierung.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Experten und Lösungen zum Anfassen</w:t>
      </w:r>
    </w:p>
    <w:p>
      <w:pPr>
        <w:pStyle w:val="par"/>
        <w:ind w:left="0"/>
      </w:pPr>
      <w:r>
        <w:rPr/>
        <w:t xml:space="preserve">Im Fokus steht, wie in den vergangenen Jahren, der Erfahrungsaustausch zwischen Teilnehmern und Fachkollegen. In einem eigenen Hausmessebereich erleben Teilnehmer B&amp;R-Softwareprodukte und Hardware live in Aktion. Zudem stehen Aussteller im Ausstellungsbereich für Gespräche zur Verfügung.</w:t>
      </w:r>
    </w:p>
    <w:p/>
    <w:bookmarkStart w:id="5" w:name="_XREFN100C2"/>
    <w:bookmarkStart w:id="6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365471"/>
            <wp:effectExtent b="0" l="0" r="0" t="0"/>
            <wp:docPr id="1" name="Markus Sandhöfner Inno Days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us Sandhöfner Inno Days 2018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6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17" w:type="default"/>
      <w:footerReference xmlns:r="http://schemas.openxmlformats.org/officeDocument/2006/relationships" r:id="N104A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7" Target="header1.xml" Type="http://schemas.openxmlformats.org/officeDocument/2006/relationships/header"/><Relationship Id="N104AB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E" Target="media/N1047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