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Donanım konfigürasyonlarını kolayca yönetin</w:t>
      </w:r>
    </w:p>
    <w:p>
      <w:pPr>
        <w:pStyle w:val="label-first"/>
        <w:keepNext/>
        <w:ind w:left="0"/>
      </w:pPr>
      <w:r>
        <w:rPr>
          <w:b/>
          <w:sz w:val="20"/>
        </w:rPr>
        <w:t xml:space="preserve">Makine ve tesislerin kolay değişken yönetimi için yeni yazılım bileşeni </w:t>
      </w:r>
    </w:p>
    <w:p>
      <w:pPr>
        <w:pStyle w:val="par-first"/>
        <w:ind w:left="0"/>
        <w:jc w:val="left"/>
      </w:pPr>
      <w:r>
        <w:rPr>
          <w:i/>
          <w:i/>
        </w:rPr>
        <w:t xml:space="preserve">Modüler uygulamalar artık daha kolay bir şekilde gerçekleştirilebiliyor. Yeni </w:t>
      </w:r>
      <w:r>
        <w:rPr>
          <w:i/>
          <w:i/>
        </w:rPr>
        <w:t>yazılım modülü</w:t>
      </w:r>
      <w:r>
        <w:rPr>
          <w:i/>
          <w:i/>
        </w:rPr>
        <w:t xml:space="preserve"> mapp IO ile, B&amp;R herhangi bir zamanda I/O modüllerini desteklemeyi mümkün kılar. Bu, bir makinenin teslimatından önce veya çalışma süresince bile olabilir. Böylece makine ve tesislerin değişken yönetimi önemli ölçüde kolaylaşır. </w:t>
      </w:r>
    </w:p>
    <w:p>
      <w:pPr>
        <w:pStyle w:val="label"/>
        <w:keepNext/>
        <w:ind w:left="0"/>
      </w:pPr>
      <w:r>
        <w:rPr>
          <w:b/>
          <w:sz w:val="20"/>
        </w:rPr>
        <w:t xml:space="preserve">Değişkenlerin konfigürasyonu</w:t>
      </w:r>
    </w:p>
    <w:p>
      <w:pPr>
        <w:pStyle w:val="par"/>
        <w:ind w:left="0"/>
      </w:pPr>
      <w:r>
        <w:rPr/>
        <w:t xml:space="preserve">mapp IO ile, I/O konfigürasyonları doğrudan bir sipariş veya ERP sisteminden üretilebilir. Üçüncü taraf sürücüler ve modüller eklense bile bir mühendislik aracı gerekli değildir. Ek değişkenler ve donanım seçenekleri doğrudan makinede mapp IO ile yapılandırılır ve daha sonra </w:t>
      </w:r>
      <w:r>
        <w:rPr/>
        <w:t>mapp CodeBox</w:t>
      </w:r>
      <w:r>
        <w:rPr/>
        <w:t xml:space="preserve"> ile programlanır. mapp CodeBox, Ladder Diagram'daki seçenekleri orijinal makine yazılımını değiştirmeden programlamanıza izin verir. Makine, orijinal yazılımını değiştirmek zorunda kalmadan işletime alınır.  </w:t>
      </w:r>
    </w:p>
    <w:p/>
    <w:bookmarkStart w:id="4" w:name="_XREFN100C2"/>
    <w:bookmarkStart w:id="5" w:name="_XREFN100C7"/>
    <w:p>
      <w:pPr>
        <w:keepNext/>
        <w:spacing w:after="20" w:before="0"/>
        <w:ind w:left="0"/>
      </w:pPr>
      <w:r>
        <w:drawing>
          <wp:inline xmlns:wp="http://schemas.openxmlformats.org/drawingml/2006/wordprocessingDrawing" distB="0" distL="0" distR="0" distT="0">
            <wp:extent cx="3600000" cy="2400750"/>
            <wp:effectExtent b="0" l="0" r="0" t="0"/>
            <wp:docPr id="1" name="mapp 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pp IO"/>
                    <pic:cNvPicPr/>
                  </pic:nvPicPr>
                  <pic:blipFill>
                    <a:blip xmlns:r="http://schemas.openxmlformats.org/officeDocument/2006/relationships" cstate="print" r:embed="N1039E"/>
                    <a:stretch>
                      <a:fillRect/>
                    </a:stretch>
                  </pic:blipFill>
                  <pic:spPr>
                    <a:xfrm>
                      <a:off x="0" y="0"/>
                      <a:ext cx="3600000" cy="2400750"/>
                    </a:xfrm>
                    <a:prstGeom prst="rect">
                      <a:avLst/>
                    </a:prstGeom>
                  </pic:spPr>
                </pic:pic>
              </a:graphicData>
            </a:graphic>
          </wp:inline>
        </w:drawing>
      </w:r>
    </w:p>
    <w:p>
      <w:pPr>
        <w:pStyle w:val="media-caption"/>
        <w:ind w:left="0"/>
      </w:pPr>
      <w:r>
        <w:t xml:space="preserve">Yeni yazılım modülü mapp IO ile B&amp;R'ın donanım yelpazesi çalışma zamanı boyunca makinelere ve sistemlere uyarlanabilir.</w:t>
      </w:r>
    </w:p>
    <w:bookmarkEnd w:id="5"/>
    <w:bookmarkEnd w:id="4"/>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1F" w:type="default"/>
      <w:footerReference xmlns:r="http://schemas.openxmlformats.org/officeDocument/2006/relationships" r:id="N104B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6"/>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F" Target="header1.xml" Type="http://schemas.openxmlformats.org/officeDocument/2006/relationships/header"/><Relationship Id="N104B3" Target="footer1.xml" Type="http://schemas.openxmlformats.org/officeDocument/2006/relationships/footer"/><Relationship Id="N1039E" Target="media/N1039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6" Target="media/N10486.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