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Plus efficace et plus communicant</w:t>
      </w:r>
    </w:p>
    <w:p>
      <w:pPr>
        <w:pStyle w:val="label-first"/>
        <w:keepNext/>
        <w:ind w:left="0"/>
      </w:pPr>
      <w:r>
        <w:rPr>
          <w:b/>
          <w:sz w:val="20"/>
        </w:rPr>
        <w:t xml:space="preserve">Process &amp; Factory Automation : APROL R 4.2 offre un grand nombre de nouvelles fonctions logicielles</w:t>
      </w:r>
    </w:p>
    <w:p>
      <w:pPr>
        <w:pStyle w:val="par-first"/>
        <w:ind w:left="0"/>
        <w:jc w:val="left"/>
      </w:pPr>
      <w:r>
        <w:rPr>
          <w:i/>
          <w:i/>
        </w:rPr>
        <w:t xml:space="preserve">B&amp;R publie une mise à jour importante de son système de contrôle de process. APROL R 4.2 comporte un grand nombre de nouvelles fonctions et améliorations, dont l'optimisation de la communication avec le cloud via OPC UA et MQTT. Un nouveau style "Dark" pour l'interface utilisateur est également proposé.</w:t>
      </w:r>
    </w:p>
    <w:p>
      <w:pPr>
        <w:pStyle w:val="par"/>
        <w:ind w:left="0"/>
      </w:pPr>
      <w:r>
        <w:rPr/>
        <w:t xml:space="preserve">APROL R 4.2 offre non seulement de nouvelles options de communication sécurisées via SSL/TLS, mais aussi un grand nombre de nouvelles fonctions pour optimiser l'efficacité des installations et des process. Ainsi, cette nouvelle mouture permet la surveillance de la performance des actifs et inclut de nouvelles fonctionnalités de surveillance conditionnelle, une solution étendue de business intelligence, et une gestion optimisée des alarmes. B&amp;R a également étendu sa solution Advanced Process Control avec de nouvelles fonctionnalités comme le nouveau bloc de réglage PID basé sur la méthode des fréquences finies.</w:t>
      </w:r>
    </w:p>
    <w:p>
      <w:pPr>
        <w:pStyle w:val="label"/>
        <w:keepNext/>
        <w:ind w:left="0"/>
      </w:pPr>
      <w:r>
        <w:rPr>
          <w:b/>
          <w:sz w:val="20"/>
        </w:rPr>
        <w:t xml:space="preserve">Tout d'un seul coup d'œil</w:t>
      </w:r>
    </w:p>
    <w:p>
      <w:pPr>
        <w:pStyle w:val="par"/>
        <w:ind w:left="0"/>
      </w:pPr>
      <w:r>
        <w:rPr/>
        <w:t xml:space="preserve">Le nouveau design "Dark style" permet de disposer d'une interface utilisateur moderne et épurée pour une commande plus aisée et plus intuitive.    En outre, les diagrammes en radar permettent de visualiser clairement l'état d'un process dans sa globalité.  Les grandeurs essentielles du process sont affichées dans des patterns qui facilitent le travail de l'utilisateur.</w:t>
      </w:r>
    </w:p>
    <w:p>
      <w:pPr>
        <w:pStyle w:val="label"/>
        <w:keepNext/>
        <w:ind w:left="0"/>
      </w:pPr>
      <w:r>
        <w:rPr>
          <w:b/>
          <w:sz w:val="20"/>
        </w:rPr>
        <w:t xml:space="preserve">Redondance à tous les niveaux</w:t>
      </w:r>
    </w:p>
    <w:p>
      <w:pPr>
        <w:pStyle w:val="par"/>
        <w:ind w:left="0"/>
      </w:pPr>
      <w:r>
        <w:rPr/>
        <w:t xml:space="preserve">Toutes les options de redondance sont désormais intégrées à APROL de manière standard. La mise en œuvre de systèmes à haute disponibilité devient ainsi économiquement attractive, même pour de petites applications. APROL supporte tous types de redondance. Il est ainsi possible de redonder le bus opérateur, le bus de process, le serveur runtime, et les contrôleurs avec des composants standard, sans utiliser du matériel spécifique et onéreux.</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01750"/>
            <wp:effectExtent b="0" l="0" r="0" t="0"/>
            <wp:docPr id="1" name="APROL_screen_dark_style_spider_diagram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screen_dark_style_spider_diagram_de"/>
                    <pic:cNvPicPr/>
                  </pic:nvPicPr>
                  <pic:blipFill>
                    <a:blip xmlns:r="http://schemas.openxmlformats.org/officeDocument/2006/relationships" cstate="print" r:embed="N103B0"/>
                    <a:stretch>
                      <a:fillRect/>
                    </a:stretch>
                  </pic:blipFill>
                  <pic:spPr>
                    <a:xfrm>
                      <a:off x="0" y="0"/>
                      <a:ext cx="3600000" cy="2301750"/>
                    </a:xfrm>
                    <a:prstGeom prst="rect">
                      <a:avLst/>
                    </a:prstGeom>
                  </pic:spPr>
                </pic:pic>
              </a:graphicData>
            </a:graphic>
          </wp:inline>
        </w:drawing>
      </w:r>
    </w:p>
    <w:p>
      <w:pPr>
        <w:pStyle w:val="media-caption"/>
        <w:ind w:left="0"/>
      </w:pPr>
      <w:r>
        <w:t xml:space="preserve">Le nouveau design "Dark Style" de l'interface utilisateur et les diagrammes en radar permettent de visualiser l'état des installations d'un seul coup d'œil.</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