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数据采集、评估和传输至云端</w:t>
      </w:r>
    </w:p>
    <w:p>
      <w:pPr>
        <w:pStyle w:val="label-first"/>
        <w:keepNext/>
        <w:ind w:left="0"/>
      </w:pPr>
      <w:r>
        <w:rPr>
          <w:b/>
          <w:sz w:val="20"/>
        </w:rPr>
        <w:t xml:space="preserve">贝加莱在汉诺威工业博览会上推出功能强大的边缘控制器</w:t>
      </w:r>
    </w:p>
    <w:p>
      <w:pPr>
        <w:pStyle w:val="par-first"/>
        <w:ind w:left="0"/>
        <w:jc w:val="left"/>
      </w:pPr>
      <w:r>
        <w:rPr>
          <w:i/>
          <w:i/>
        </w:rPr>
        <w:t xml:space="preserve">一台设备用于数据的采集、评估和发送至云端 – 现在可以使用贝加莱的边缘控制器实现。强大的</w:t>
      </w:r>
      <w:r>
        <w:rPr>
          <w:i/>
          <w:i/>
        </w:rPr>
        <w:t>工业PC</w:t>
      </w:r>
      <w:r>
        <w:rPr>
          <w:i/>
          <w:i/>
        </w:rPr>
        <w:t xml:space="preserve">甚至可以用于大数据分析和机器学习，同时还可以用作功能齐全的工业控制器。</w:t>
      </w:r>
    </w:p>
    <w:p>
      <w:pPr>
        <w:pStyle w:val="par"/>
        <w:ind w:left="0"/>
      </w:pPr>
      <w:r>
        <w:rPr/>
        <w:t xml:space="preserve">贝加莱的边缘控制器基于稳定、抗干扰的Automation PC 910，其高性能版本配备了Intel XEON处理器，可以处理像机器学习这样的资源密集型任务。该边缘控制器运行一个强化的操作系统 – 具有长期支持保证的Linux商业版本。云传输通过MQTT进行。</w:t>
      </w:r>
    </w:p>
    <w:p>
      <w:pPr>
        <w:pStyle w:val="label"/>
        <w:keepNext/>
        <w:ind w:left="0"/>
      </w:pPr>
      <w:r>
        <w:rPr>
          <w:b/>
          <w:sz w:val="20"/>
        </w:rPr>
        <w:t xml:space="preserve">完备的工业控制器</w:t>
      </w:r>
    </w:p>
    <w:p>
      <w:pPr>
        <w:pStyle w:val="par"/>
        <w:ind w:left="0"/>
      </w:pPr>
      <w:r>
        <w:rPr/>
        <w:t xml:space="preserve">通过贝加莱超级管理程序，除Linux系统外，在该边缘控制器上可以同时运行一套实时操作系统。这将边缘设备变成了一个完备的工业控制器，具有亚毫秒级的循环周期。无限数量的I/O模块或控制器可以通过POWERLINK工业以太网协议、OPC UA或其它现场总线系统连接。未来，还可以使用OPC UA TSN。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0"/>
                    <a:stretch>
                      <a:fillRect/>
                    </a:stretch>
                  </pic:blipFill>
                  <pic:spPr>
                    <a:xfrm>
                      <a:off x="0" y="0"/>
                      <a:ext cx="3600000" cy="2416500"/>
                    </a:xfrm>
                    <a:prstGeom prst="rect">
                      <a:avLst/>
                    </a:prstGeom>
                  </pic:spPr>
                </pic:pic>
              </a:graphicData>
            </a:graphic>
          </wp:inline>
        </w:drawing>
      </w:r>
    </w:p>
    <w:p>
      <w:pPr>
        <w:pStyle w:val="media-caption"/>
        <w:ind w:left="0"/>
      </w:pPr>
      <w:r>
        <w:t xml:space="preserve">Edge Controller可以采集和评估数据，并将其发送至云端。</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