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Innovations Day Italia 2018, un altro successo</w:t>
      </w:r>
    </w:p>
    <w:p>
      <w:pPr>
        <w:pStyle w:val="label-first"/>
        <w:keepNext/>
        <w:ind w:left="0"/>
      </w:pPr>
      <w:r>
        <w:rPr>
          <w:b/>
          <w:sz w:val="20"/>
        </w:rPr>
        <w:t xml:space="preserve">Sesta edizione ricca di innovazioni e di novità nel format</w:t>
      </w:r>
    </w:p>
    <w:p>
      <w:pPr>
        <w:pStyle w:val="par-first"/>
        <w:ind w:left="0"/>
        <w:jc w:val="left"/>
      </w:pPr>
      <w:r>
        <w:rPr>
          <w:i/>
          <w:i/>
        </w:rPr>
        <w:t xml:space="preserve">Oltre 300 partecipanti, tra costruttori di macchine e industria manifatturiera, si sono riuniti a fine febbraio per approfondire le tecnologie che stanno cambiando il modo di fare automazione.    </w:t>
      </w:r>
    </w:p>
    <w:p>
      <w:pPr>
        <w:pStyle w:val="par"/>
        <w:ind w:left="0"/>
      </w:pPr>
      <w:r>
        <w:rPr/>
        <w:t xml:space="preserve">E mentre fuori una coltre bianca copriva e ovattava Parma, all’interno del centro congressi la tecnologia arancione riscaldava gli animi e le menti di progettisti che hanno potuto toccare e vedere dal vivo, in anteprima italiana, le novità presentate a Norimberga.    </w:t>
      </w:r>
    </w:p>
    <w:p>
      <w:pPr>
        <w:pStyle w:val="par"/>
        <w:ind w:left="0"/>
      </w:pPr>
      <w:r>
        <w:rPr/>
        <w:t xml:space="preserve">La sesta edizione dell’acclamato evento B&amp;R dedicato all’innovazione ha visto 15 presentazioni: 10 delle quali sono state organizzate in sessioni parallele, permettendo ai partecipanti di seguire gli argomenti più interessanti per loro, nella sequenza desiderata, per una esperienza formativa completamente personalizzata.  I seminari tecnici, spesso arricchiti da live demo, hanno dato modo di comprendere quali vantaggi portino le novità presentate e come poterli implementare nella propria realtà quotidiana.  </w:t>
      </w:r>
    </w:p>
    <w:p>
      <w:pPr>
        <w:pStyle w:val="label"/>
        <w:keepNext/>
        <w:ind w:left="0"/>
      </w:pPr>
      <w:r>
        <w:rPr>
          <w:b/>
          <w:sz w:val="20"/>
        </w:rPr>
        <w:t xml:space="preserve">Nuove tecnologie in azione</w:t>
      </w:r>
    </w:p>
    <w:p>
      <w:pPr>
        <w:pStyle w:val="par"/>
        <w:ind w:left="0"/>
      </w:pPr>
      <w:r>
        <w:rPr/>
        <w:t xml:space="preserve">Una zona espositiva di oltre 150 mq con macchine funzionanti, ha permesso di vedere le nuove tecnologie in azione, mentre le stazioni di programmazione hanno dato modo di comprendere, insieme agli specialisti B&amp;R, come i nuovi prodotti funzionino e come si programmino per sfruttarne appieno le potenzialità.     </w:t>
      </w:r>
    </w:p>
    <w:p>
      <w:pPr>
        <w:pStyle w:val="par"/>
        <w:ind w:left="0"/>
      </w:pPr>
      <w:r>
        <w:rPr/>
        <w:t xml:space="preserve">Tra le novità principali introdotte nel 2018 troviamo:   </w:t>
      </w:r>
    </w:p>
    <w:p>
      <w:pPr>
        <w:keepNext/>
        <w:keepLines/>
        <w:ind w:hanging="283" w:left="283"/>
      </w:pPr>
      <w:r>
        <w:rPr>
          <w:rFonts w:ascii="Symbol" w:cs="Times New Roman" w:hAnsi="Symbol" w:hint="default"/>
        </w:rPr>
        <w:t></w:t>
        <w:tab/>
      </w:r>
      <w:r>
        <w:rPr>
          <w:b/>
        </w:rPr>
        <w:t xml:space="preserve">ACOPOStrak</w:t>
      </w:r>
      <w:r>
        <w:t xml:space="preserve">, il trasporto intelligente che apre la via alla personalizzazione di massa e massimizza l’OEE</w:t>
      </w:r>
    </w:p>
    <w:p>
      <w:pPr>
        <w:keepLines/>
        <w:ind w:hanging="283" w:left="283"/>
      </w:pPr>
      <w:r>
        <w:rPr>
          <w:rFonts w:ascii="Symbol" w:cs="Times New Roman" w:hAnsi="Symbol" w:hint="default"/>
        </w:rPr>
        <w:t></w:t>
        <w:tab/>
      </w:r>
      <w:r>
        <w:t xml:space="preserve">la </w:t>
      </w:r>
      <w:r>
        <w:rPr>
          <w:b/>
        </w:rPr>
        <w:t xml:space="preserve">visione secondo B&amp;R</w:t>
      </w:r>
      <w:r>
        <w:t xml:space="preserve">, con una gestione completamente integrata, a misura di progettista d’automazione</w:t>
      </w:r>
    </w:p>
    <w:p>
      <w:pPr>
        <w:ind w:hanging="283" w:left="283"/>
      </w:pPr>
      <w:r>
        <w:rPr>
          <w:rFonts w:ascii="Symbol" w:cs="Times New Roman" w:hAnsi="Symbol" w:hint="default"/>
        </w:rPr>
        <w:t></w:t>
        <w:tab/>
      </w:r>
      <w:r>
        <w:rPr>
          <w:b/>
        </w:rPr>
        <w:t xml:space="preserve">OPC UA e TSN</w:t>
      </w:r>
      <w:r>
        <w:t xml:space="preserve">, gli standard di comunicazione per l’Industrial Internet of Things</w:t>
      </w:r>
    </w:p>
    <w:p>
      <w:pPr>
        <w:ind w:hanging="283" w:left="283"/>
      </w:pPr>
      <w:r>
        <w:rPr>
          <w:rFonts w:ascii="Symbol" w:cs="Times New Roman" w:hAnsi="Symbol" w:hint="default"/>
        </w:rPr>
        <w:t></w:t>
        <w:tab/>
      </w:r>
      <w:r>
        <w:t xml:space="preserve">l’</w:t>
      </w:r>
      <w:r>
        <w:rPr>
          <w:b/>
        </w:rPr>
        <w:t xml:space="preserve">Edge</w:t>
      </w:r>
      <w:r>
        <w:t xml:space="preserve">, le piattaforme digitali per l'interconnessione delle macchine</w:t>
      </w:r>
    </w:p>
    <w:p>
      <w:pPr>
        <w:keepNext/>
        <w:keepLines/>
        <w:ind w:hanging="283" w:left="283"/>
      </w:pPr>
      <w:r>
        <w:rPr>
          <w:rFonts w:ascii="Symbol" w:cs="Times New Roman" w:hAnsi="Symbol" w:hint="default"/>
        </w:rPr>
        <w:t></w:t>
        <w:tab/>
      </w:r>
      <w:r>
        <w:rPr>
          <w:b/>
        </w:rPr>
        <w:t xml:space="preserve">Orange Box</w:t>
      </w:r>
      <w:r>
        <w:t xml:space="preserve">, l'Industrial IoT per Macchine Legacy</w:t>
      </w:r>
    </w:p>
    <w:p>
      <w:pPr>
        <w:keepLines/>
        <w:ind w:hanging="283" w:left="283"/>
      </w:pPr>
      <w:r>
        <w:rPr>
          <w:rFonts w:ascii="Symbol" w:cs="Times New Roman" w:hAnsi="Symbol" w:hint="default"/>
        </w:rPr>
        <w:t></w:t>
        <w:tab/>
      </w:r>
      <w:r>
        <w:rPr>
          <w:b/>
        </w:rPr>
        <w:t xml:space="preserve">automazione estrema</w:t>
      </w:r>
      <w:r>
        <w:t xml:space="preserve">, soluzioni di automazione per veicoli industriali</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395152"/>
            <wp:effectExtent b="0" l="0" r="0" t="0"/>
            <wp:docPr id="1" name="Galluzzi on Stage 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luzzi on Stage 3x2"/>
                    <pic:cNvPicPr/>
                  </pic:nvPicPr>
                  <pic:blipFill>
                    <a:blip xmlns:r="http://schemas.openxmlformats.org/officeDocument/2006/relationships" cstate="print" r:embed="N104AD"/>
                    <a:stretch>
                      <a:fillRect/>
                    </a:stretch>
                  </pic:blipFill>
                  <pic:spPr>
                    <a:xfrm>
                      <a:off x="0" y="0"/>
                      <a:ext cx="3600000" cy="2395152"/>
                    </a:xfrm>
                    <a:prstGeom prst="rect">
                      <a:avLst/>
                    </a:prstGeom>
                  </pic:spPr>
                </pic:pic>
              </a:graphicData>
            </a:graphic>
          </wp:inline>
        </w:drawing>
      </w:r>
    </w:p>
    <w:p>
      <w:pPr>
        <w:pStyle w:val="media-caption"/>
        <w:ind w:left="0"/>
      </w:pPr>
      <w:r>
        <w:t xml:space="preserve">Luca Galluzzi, Direttore Generale B&amp;R Italia, sul palco della sesta edizione dell'Innovations Day Italia </w:t>
      </w:r>
    </w:p>
    <w:bookmarkEnd w:id="9"/>
    <w:bookmarkEnd w:id="8"/>
    <w:bookmarkStart w:id="10" w:name="_XREFN100611520875669192"/>
    <w:bookmarkStart w:id="11" w:name="_XREFN100661520875669192"/>
    <w:p>
      <w:pPr>
        <w:keepNext/>
        <w:spacing w:after="20" w:before="0"/>
        <w:ind w:left="0"/>
      </w:pPr>
      <w:r>
        <w:drawing>
          <wp:inline xmlns:wp="http://schemas.openxmlformats.org/drawingml/2006/wordprocessingDrawing" distB="0" distL="0" distR="0" distT="0">
            <wp:extent cx="3600000" cy="2395913"/>
            <wp:effectExtent b="0" l="0" r="0" t="0"/>
            <wp:docPr id="2" name="ID VI - 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 VI - pic"/>
                    <pic:cNvPicPr/>
                  </pic:nvPicPr>
                  <pic:blipFill>
                    <a:blip xmlns:r="http://schemas.openxmlformats.org/officeDocument/2006/relationships" cstate="print" r:embed="N104FC"/>
                    <a:stretch>
                      <a:fillRect/>
                    </a:stretch>
                  </pic:blipFill>
                  <pic:spPr>
                    <a:xfrm>
                      <a:off x="0" y="0"/>
                      <a:ext cx="3600000" cy="2395913"/>
                    </a:xfrm>
                    <a:prstGeom prst="rect">
                      <a:avLst/>
                    </a:prstGeom>
                  </pic:spPr>
                </pic:pic>
              </a:graphicData>
            </a:graphic>
          </wp:inline>
        </w:drawing>
      </w:r>
    </w:p>
    <w:p>
      <w:pPr>
        <w:pStyle w:val="media-caption"/>
        <w:ind w:left="0"/>
      </w:pPr>
      <w:r>
        <w:t xml:space="preserve">Sesta edizione dell'Innovations Day Italia a Parma</w:t>
      </w:r>
    </w:p>
    <w:bookmarkEnd w:id="11"/>
    <w:bookmarkEnd w:id="10"/>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7E" w:type="default"/>
      <w:footerReference xmlns:r="http://schemas.openxmlformats.org/officeDocument/2006/relationships" r:id="N1061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E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7E" Target="header1.xml" Type="http://schemas.openxmlformats.org/officeDocument/2006/relationships/header"/><Relationship Id="N10612" Target="footer1.xml" Type="http://schemas.openxmlformats.org/officeDocument/2006/relationships/footer"/><Relationship Id="N104AD" Target="media/N104AD.jpg" Type="http://schemas.openxmlformats.org/officeDocument/2006/relationships/image"/><Relationship Id="N104FC" Target="media/N104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E5" Target="media/N105E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