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Studencie! Ruszają warsztaty IAESTE CaseWeek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Nasza technologiczna przewaga w dziedzinie sterowania, techniki napędowej, wizualizacji, komunikacji oraz oprogramowania sprawia, że wytyczamy trendy w obszarze automatyzacji. Z oferty B&amp;R korzystają producenci maszyn, firmy inżynierskie, integratorzy systemów, a także klienci końcowi z wielu branż przemysłu.</w:t>
      </w:r>
    </w:p>
    <w:p>
      <w:pPr>
        <w:pStyle w:val="par"/>
        <w:ind w:left="0"/>
      </w:pPr>
      <w:r>
        <w:rPr/>
        <w:t xml:space="preserve">Najlepszą jakość obsługi klientów oraz najnowsze rozwiązania zapewnia wyspecjalizowana kadra inżynierów wsparcia technicznego i aplikacyjnego oraz doświadczeni pracownicy Działu Sprzedaży. Dlatego z otwartością współpracujemy z wiodącymi uczelniami technicznymi w Polsce i przygotowujemy spotkania dla studentów – przyszłej kadry inżynierskiej.</w:t>
      </w:r>
    </w:p>
    <w:p>
      <w:pPr>
        <w:pStyle w:val="par"/>
        <w:ind w:left="0"/>
      </w:pPr>
      <w:r>
        <w:rPr/>
        <w:t xml:space="preserve">W kwietniu po raz kolejny weźmiemy udział w IAESTE CaseWeek, organizując warsztaty w dziewięciu wiodących uczelniach. Przygotowany program pozwoli studentom poznać konkretne rozwiązania techniczne związane z automatyzacją. Istotą warsztatów jest również aspekt praktyczny, dlatego przewidzieliśmy zadania dla uczestników, które zostaną zwieńczone nagrodami dla najlepszych prac oraz wspólną dyskusją nad odpowiedziami.</w:t>
      </w:r>
    </w:p>
    <w:p>
      <w:pPr>
        <w:pStyle w:val="par"/>
        <w:ind w:left="0"/>
      </w:pPr>
      <w:r>
        <w:rPr/>
        <w:t xml:space="preserve">Sprawdź czy będziemy na Twojej uczelni: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17 kwietnia</w:t>
      </w:r>
      <w:r>
        <w:t xml:space="preserve"> - Akademia Górniczo-Hutnicza w Krakowie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18 kwietnia</w:t>
      </w:r>
      <w:r>
        <w:t xml:space="preserve"> - Politechnika Krakowska 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18 kwietnia</w:t>
      </w:r>
      <w:r>
        <w:t xml:space="preserve"> - Zachodniopomorski Uniwersytet Technologiczny w Szczecinie 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19 kwietnia</w:t>
      </w:r>
      <w:r>
        <w:t xml:space="preserve"> - Politechnika Śląska 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20 kwietnia</w:t>
      </w:r>
      <w:r>
        <w:t xml:space="preserve"> - Politechnika Poznańska 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24 kwietnia</w:t>
      </w:r>
      <w:r>
        <w:t xml:space="preserve"> - Politechnika Wrocławska 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25 kwietnia</w:t>
      </w:r>
      <w:r>
        <w:t xml:space="preserve"> - Politechnika Gdańska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26 kwietnia</w:t>
      </w:r>
      <w:r>
        <w:t xml:space="preserve"> - Politechnika Łódzka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27 kwietnia</w:t>
      </w:r>
      <w:r>
        <w:t xml:space="preserve"> - Politechnika Warszawska  </w:t>
      </w:r>
    </w:p>
    <w:p>
      <w:pPr>
        <w:pStyle w:val="par"/>
        <w:ind w:left="0"/>
      </w:pPr>
      <w:r>
        <w:rPr/>
        <w:t xml:space="preserve">Zarejestruj się: </w:t>
      </w:r>
      <w:r>
        <w:br w:type="textWrapping"/>
      </w:r>
      <w:r>
        <w:rPr/>
        <w:t xml:space="preserve">https://caseweek.iaeste.pl/</w:t>
      </w:r>
    </w:p>
    <w:p/>
    <w:bookmarkStart w:id="7" w:name="_XREFN100C2"/>
    <w:bookmarkStart w:id="8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2542032" cy="1767840"/>
            <wp:effectExtent b="0" l="0" r="0" t="0"/>
            <wp:docPr id="1" name="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ctice"/>
                    <pic:cNvPicPr/>
                  </pic:nvPicPr>
                  <pic:blipFill>
                    <a:blip xmlns:r="http://schemas.openxmlformats.org/officeDocument/2006/relationships" cstate="print" r:embed="N104FE"/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75" w:type="default"/>
      <w:footerReference xmlns:r="http://schemas.openxmlformats.org/officeDocument/2006/relationships" r:id="N1060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75" Target="header1.xml" Type="http://schemas.openxmlformats.org/officeDocument/2006/relationships/header"/><Relationship Id="N10609" Target="footer1.xml" Type="http://schemas.openxmlformats.org/officeDocument/2006/relationships/footer"/><Relationship Id="N104FE" Target="media/N104F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DC" Target="media/N105D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