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Innovation Day 2018 </w:t>
      </w:r>
    </w:p>
    <w:p>
      <w:pPr>
        <w:pStyle w:val="label-first"/>
        <w:keepNext/>
        <w:ind w:left="0"/>
      </w:pPr>
      <w:r>
        <w:rPr>
          <w:b/>
          <w:sz w:val="20"/>
        </w:rPr>
        <w:t xml:space="preserve">Innovation Day 2018 à Frauenfeld</w:t>
      </w:r>
    </w:p>
    <w:p>
      <w:pPr>
        <w:pStyle w:val="par-first"/>
        <w:ind w:left="0"/>
        <w:jc w:val="left"/>
      </w:pPr>
      <w:r>
        <w:rPr>
          <w:i/>
          <w:i/>
        </w:rPr>
        <w:t xml:space="preserve"> Les solutions, les ateliers et l'information sur les produits sont au cœur de la Journée de l'innovation. L'événement client du spécialiste de l'automatisation aura lieu le 16 novembre 2018 à Frauenfeld.       </w:t>
      </w:r>
    </w:p>
    <w:p>
      <w:pPr>
        <w:pStyle w:val="label"/>
        <w:keepNext/>
        <w:ind w:left="0"/>
      </w:pPr>
      <w:r>
        <w:rPr>
          <w:b/>
          <w:sz w:val="20"/>
        </w:rPr>
        <w:t xml:space="preserve">Sujets des ateliers</w:t>
      </w:r>
    </w:p>
    <w:p>
      <w:pPr>
        <w:pStyle w:val="par"/>
        <w:ind w:left="0"/>
      </w:pPr>
      <w:r>
        <w:rPr/>
        <w:t xml:space="preserve">- ACOPOStrak</w:t>
      </w:r>
    </w:p>
    <w:p>
      <w:pPr>
        <w:pStyle w:val="par"/>
        <w:ind w:left="0"/>
      </w:pPr>
      <w:r>
        <w:rPr/>
        <w:t xml:space="preserve">- Automatisation pour environnements difficiles</w:t>
      </w:r>
    </w:p>
    <w:p>
      <w:pPr>
        <w:pStyle w:val="par"/>
        <w:ind w:left="0"/>
      </w:pPr>
      <w:r>
        <w:rPr/>
        <w:t xml:space="preserve">- Modélisation et simulation</w:t>
      </w:r>
    </w:p>
    <w:p>
      <w:pPr>
        <w:pStyle w:val="par"/>
        <w:ind w:left="0"/>
      </w:pPr>
      <w:r>
        <w:rPr/>
        <w:t xml:space="preserve">Cliquez sur le lien suivant pour en savoir plus sur le programme. Enregistrement modulaire possible :</w:t>
      </w:r>
    </w:p>
    <w:p>
      <w:pPr>
        <w:pStyle w:val="par"/>
        <w:ind w:left="0"/>
      </w:pPr>
      <w:r>
        <w:rPr/>
        <w:t xml:space="preserve">Liens vers le site web de l'événement: </w:t>
      </w:r>
      <w:r>
        <w:rPr/>
        <w:fldChar w:fldCharType="begin"/>
      </w:r>
      <w:r>
        <w:rPr/>
        <w:instrText xml:space="preserve">HYPERLINK "http://www.br-innovationday.ch"</w:instrText>
      </w:r>
      <w:r>
        <w:fldChar w:fldCharType="separate"/>
      </w:r>
      <w:r>
        <w:rPr/>
        <w:t>B&amp;R Innovationday 2018</w:t>
      </w:r>
      <w:r>
        <w:fldChar w:fldCharType="end"/>
      </w:r>
    </w:p>
    <w:p>
      <w:pPr>
        <w:pStyle w:val="par"/>
        <w:ind w:left="0"/>
      </w:pPr>
      <w:r>
        <w:rPr/>
        <w:t xml:space="preserve">Inscrivez-vous dès aujourd'hui. Nous nous réjouissons d'avoir de vos nouvelles.  </w:t>
      </w:r>
    </w:p>
    <w:p/>
    <w:bookmarkStart w:id="9" w:name="_XREFN100C2"/>
    <w:bookmarkStart w:id="10" w:name="_XREFN1006A"/>
    <w:p>
      <w:pPr>
        <w:spacing w:after="200" w:before="0"/>
        <w:ind w:left="0"/>
      </w:pPr>
      <w:r>
        <w:drawing>
          <wp:inline xmlns:wp="http://schemas.openxmlformats.org/drawingml/2006/wordprocessingDrawing" distB="0" distL="0" distR="0" distT="0">
            <wp:extent cx="3600000" cy="1139241"/>
            <wp:effectExtent b="0" l="0" r="0" t="0"/>
            <wp:docPr id="1" name="Header Innovationd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Innovationday 2018"/>
                    <pic:cNvPicPr/>
                  </pic:nvPicPr>
                  <pic:blipFill>
                    <a:blip xmlns:r="http://schemas.openxmlformats.org/officeDocument/2006/relationships" cstate="print" r:embed="N103DF"/>
                    <a:stretch>
                      <a:fillRect/>
                    </a:stretch>
                  </pic:blipFill>
                  <pic:spPr>
                    <a:xfrm>
                      <a:off x="0" y="0"/>
                      <a:ext cx="3600000" cy="1139241"/>
                    </a:xfrm>
                    <a:prstGeom prst="rect">
                      <a:avLst/>
                    </a:prstGeom>
                  </pic:spPr>
                </pic:pic>
              </a:graphicData>
            </a:graphic>
          </wp:inline>
        </w:drawing>
      </w:r>
    </w:p>
    <w:bookmarkEnd w:id="10"/>
    <w:bookmarkEnd w:id="9"/>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