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Bliv klogere på digitale maskiner</w:t>
      </w:r>
    </w:p>
    <w:p>
      <w:pPr>
        <w:pStyle w:val="label-first"/>
        <w:keepNext/>
        <w:ind w:left="0"/>
      </w:pPr>
      <w:r>
        <w:rPr>
          <w:b/>
          <w:sz w:val="20"/>
        </w:rPr>
        <w:t xml:space="preserve">Er du med på de centrale perspektiver, der er for dig som maskinbygger i overgangen fra nutidens industri til fremtidens realitet?</w:t>
      </w:r>
    </w:p>
    <w:p>
      <w:pPr>
        <w:pStyle w:val="par-first"/>
        <w:ind w:left="0"/>
        <w:jc w:val="left"/>
      </w:pPr>
      <w:r>
        <w:rPr>
          <w:i/>
          <w:i/>
        </w:rPr>
        <w:t xml:space="preserve">Hvis ikke, så kan du nu downloade en infografik, der viser, hvad der sker, når man arbejder med digitale maskiner frem for mere konventionelle maskiner.  Infografikken er en del af en læringsrejse skabt af B&amp;R Industrial Automation, og du kan tilgå den </w:t>
      </w:r>
      <w:r>
        <w:rPr>
          <w:i/>
          <w:i/>
        </w:rPr>
        <w:fldChar w:fldCharType="begin"/>
      </w:r>
      <w:r>
        <w:rPr>
          <w:i/>
          <w:i/>
        </w:rPr>
        <w:instrText xml:space="preserve">HYPERLINK "https://goo.gl/2F9LF2"</w:instrText>
      </w:r>
      <w:r>
        <w:fldChar w:fldCharType="separate"/>
      </w:r>
      <w:r>
        <w:rPr>
          <w:i/>
          <w:i/>
        </w:rPr>
        <w:t>her</w:t>
      </w:r>
      <w:r>
        <w:fldChar w:fldCharType="end"/>
      </w:r>
      <w:r>
        <w:fldChar w:fldCharType="begin"/>
      </w:r>
      <w:r>
        <w:instrText xml:space="preserve">HYPERLINK ""</w:instrText>
      </w:r>
      <w:r>
        <w:fldChar w:fldCharType="separate"/>
      </w:r>
      <w:r>
        <w:t/>
      </w:r>
      <w:r>
        <w:fldChar w:fldCharType="end"/>
      </w:r>
      <w:r>
        <w:rPr>
          <w:i/>
          <w:i/>
        </w:rPr>
        <w:t xml:space="preserve">.  </w:t>
      </w:r>
    </w:p>
    <w:p>
      <w:pPr>
        <w:pStyle w:val="par"/>
        <w:ind w:left="0"/>
      </w:pPr>
      <w:r>
        <w:rPr/>
        <w:t xml:space="preserve">Herefter vil vi fortsætte med at udbrede viden og læring om automatiseringens rolle i Industri 4.0, og hvordan det kan skabe værdi for OEM'er og produktion.</w:t>
      </w:r>
    </w:p>
    <w:p/>
    <w:bookmarkStart w:id="4" w:name="_XREFN100C2"/>
    <w:bookmarkStart w:id="5" w:name="_XREFN100C7"/>
    <w:p>
      <w:pPr>
        <w:spacing w:after="200" w:before="0"/>
        <w:ind w:left="0"/>
      </w:pPr>
      <w:r>
        <w:drawing>
          <wp:inline xmlns:wp="http://schemas.openxmlformats.org/drawingml/2006/wordprocessingDrawing" distB="0" distL="0" distR="0" distT="0">
            <wp:extent cx="3600000" cy="2400750"/>
            <wp:effectExtent b="0" l="0" r="0" t="0"/>
            <wp:docPr id="1" name="info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fik"/>
                    <pic:cNvPicPr/>
                  </pic:nvPicPr>
                  <pic:blipFill>
                    <a:blip xmlns:r="http://schemas.openxmlformats.org/officeDocument/2006/relationships" cstate="print" r:embed="N103A5"/>
                    <a:stretch>
                      <a:fillRect/>
                    </a:stretch>
                  </pic:blipFill>
                  <pic:spPr>
                    <a:xfrm>
                      <a:off x="0" y="0"/>
                      <a:ext cx="3600000" cy="2400750"/>
                    </a:xfrm>
                    <a:prstGeom prst="rect">
                      <a:avLst/>
                    </a:prstGeom>
                  </pic:spPr>
                </pic:pic>
              </a:graphicData>
            </a:graphic>
          </wp:inline>
        </w:drawing>
      </w:r>
    </w:p>
    <w:bookmarkEnd w:id="5"/>
    <w:bookmarkEnd w:id="4"/>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4" w:type="default"/>
      <w:footerReference xmlns:r="http://schemas.openxmlformats.org/officeDocument/2006/relationships" r:id="N104E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4" Target="header1.xml" Type="http://schemas.openxmlformats.org/officeDocument/2006/relationships/header"/><Relationship Id="N104E8" Target="footer1.xml" Type="http://schemas.openxmlformats.org/officeDocument/2006/relationships/footer"/><Relationship Id="N103A5" Target="media/N103A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B" Target="media/N104B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