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Transmission sans fil de données de sécurité </w:t>
      </w:r>
    </w:p>
    <w:p>
      <w:pPr>
        <w:pStyle w:val="label-first"/>
        <w:keepNext/>
        <w:ind w:left="0"/>
      </w:pPr>
      <w:r>
        <w:rPr>
          <w:b/>
          <w:sz w:val="20"/>
        </w:rPr>
        <w:t xml:space="preserve">Le protocole openSAFETY tire profit des avantages d'UDP. </w:t>
      </w:r>
    </w:p>
    <w:p>
      <w:pPr>
        <w:pStyle w:val="par-first"/>
        <w:ind w:left="0"/>
        <w:jc w:val="left"/>
      </w:pPr>
      <w:r>
        <w:rPr>
          <w:i/>
          <w:i/>
        </w:rPr>
        <w:t xml:space="preserve">Le protocole </w:t>
      </w:r>
      <w:r>
        <w:rPr>
          <w:i/>
          <w:i/>
        </w:rPr>
        <w:t>openSAFETY</w:t>
      </w:r>
      <w:r>
        <w:rPr>
          <w:i/>
          <w:i/>
        </w:rPr>
        <w:t xml:space="preserve"> permet désormais des transmissions sûres via UDP en utilisant le principe du black channel. Ceci facilite l'utilisation des technologies de transmission sans fil pour les communications liées à la sécurité. openSAFETY offre une grande flexibilité de configuration et se prête ainsi particulièrement bien aux transmissions de données sans fil. </w:t>
      </w:r>
    </w:p>
    <w:p>
      <w:pPr>
        <w:pStyle w:val="label"/>
        <w:keepNext/>
        <w:ind w:left="0"/>
      </w:pPr>
    </w:p>
    <w:p>
      <w:pPr>
        <w:pStyle w:val="par"/>
        <w:ind w:left="0"/>
      </w:pPr>
      <w:r>
        <w:rPr/>
        <w:t xml:space="preserve">La communication entre des stations de base fixes et des systèmes mobiles est un cas d'application typique de la transmission sans fil pour les données de sécurité. Ce type d'application se rencontre, par exemple, dans des systèmes logistiques d'entrepôts ou des systèmes de transport de bagages. L'utilisateur peut configurer openSAFETY avec des latences allant jusqu'à 2,5 secondes. Ainsi, les bandes passantes étroites et les interruptions de transmission de courte durée ne déclenchent pas de réactions de sécurité non souhaitables comme l'arrêt des machines.</w:t>
      </w:r>
    </w:p>
    <w:p>
      <w:pPr>
        <w:pStyle w:val="label"/>
        <w:keepNext/>
        <w:ind w:left="0"/>
      </w:pPr>
      <w:r>
        <w:rPr>
          <w:b/>
          <w:sz w:val="20"/>
        </w:rPr>
        <w:t xml:space="preserve">Unités auto-guidées sûres</w:t>
      </w:r>
    </w:p>
    <w:p>
      <w:pPr>
        <w:pStyle w:val="par"/>
        <w:ind w:left="0"/>
      </w:pPr>
      <w:r>
        <w:rPr/>
        <w:t xml:space="preserve">La communication sans fil pour la sécurité permet à des unités auto-guidées de changer de zone de sécurité sans générer d'interruptions. Le passage d'une zone à l'autre est parfaitement fluide. Les unités auto-guidées offrent ainsi une grande souplesse d'utilisation tout en évoluant au sein du réseau en toute sécurité. Pour permettre un diagnostic complet, openSAFETY comprend également des compteurs d'erreurs ainsi que d'autres fonctions de diagnostic.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Pressemeldung-18086-openSafety-over-UDP-and-wirel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emeldung-18086-openSafety-over-UDP-and-wireless"/>
                    <pic:cNvPicPr/>
                  </pic:nvPicPr>
                  <pic:blipFill>
                    <a:blip xmlns:r="http://schemas.openxmlformats.org/officeDocument/2006/relationships" cstate="print" r:embed="N103AC"/>
                    <a:stretch>
                      <a:fillRect/>
                    </a:stretch>
                  </pic:blipFill>
                  <pic:spPr>
                    <a:xfrm>
                      <a:off x="0" y="0"/>
                      <a:ext cx="3600000" cy="2400750"/>
                    </a:xfrm>
                    <a:prstGeom prst="rect">
                      <a:avLst/>
                    </a:prstGeom>
                  </pic:spPr>
                </pic:pic>
              </a:graphicData>
            </a:graphic>
          </wp:inline>
        </w:drawing>
      </w:r>
    </w:p>
    <w:p>
      <w:pPr>
        <w:pStyle w:val="media-caption"/>
        <w:ind w:left="0"/>
      </w:pPr>
      <w:r>
        <w:t xml:space="preserve">Avec openSAFETY et UDP, les données peuvent être transmises de manière sûre et sans fil.</w:t>
      </w:r>
    </w:p>
    <w:bookmarkEnd w:id="6"/>
    <w:bookmarkEnd w:id="5"/>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2E" w:type="default"/>
      <w:footerReference xmlns:r="http://schemas.openxmlformats.org/officeDocument/2006/relationships" r:id="N104C2"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5"/>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E" Target="header1.xml" Type="http://schemas.openxmlformats.org/officeDocument/2006/relationships/header"/><Relationship Id="N104C2" Target="footer1.xml" Type="http://schemas.openxmlformats.org/officeDocument/2006/relationships/footer"/><Relationship Id="N103AC" Target="media/N103A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5" Target="media/N10495.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