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Easily in touch with your machines</w:t>
      </w:r>
    </w:p>
    <w:p>
      <w:pPr>
        <w:pStyle w:val="label-first"/>
        <w:keepNext/>
        <w:ind w:left="0"/>
      </w:pPr>
      <w:r>
        <w:rPr>
          <w:b/>
          <w:sz w:val="20"/>
        </w:rPr>
        <w:t xml:space="preserve">B&amp;R cloud application powered by ABB Ability opens new opportunities for OEMs</w:t>
      </w:r>
    </w:p>
    <w:p>
      <w:pPr>
        <w:pStyle w:val="par-first"/>
        <w:ind w:left="0"/>
        <w:jc w:val="left"/>
      </w:pPr>
      <w:r>
        <w:rPr>
          <w:i/>
          <w:i/>
        </w:rPr>
        <w:t xml:space="preserve">Asset Performance Monitor is B&amp;R's first cloud application based on ABB Ability</w:t>
      </w:r>
      <w:r>
        <w:rPr>
          <w:i/>
          <w:i/>
        </w:rPr>
        <w:t xml:space="preserve">TM</w:t>
      </w:r>
      <w:r>
        <w:rPr>
          <w:i/>
          <w:i/>
        </w:rPr>
        <w:t xml:space="preserve">, ABB's unified, cross-industry offering of digital solutions. By giving OEMs a reliable overview of all their machines in the field, it allows them to identify potential improvements, take service operations to the next level and unlock new business models and revenue streams. </w:t>
      </w:r>
    </w:p>
    <w:p>
      <w:pPr>
        <w:pStyle w:val="label"/>
        <w:keepNext/>
        <w:ind w:left="0"/>
      </w:pPr>
    </w:p>
    <w:p>
      <w:pPr>
        <w:pStyle w:val="par"/>
        <w:ind w:left="0"/>
      </w:pPr>
      <w:r>
        <w:rPr/>
        <w:t xml:space="preserve">Around the clock, Asset Performance Monitor delivers data about production rate, energy consumption and temperature. Users can define which information is required, and the application automatically calculates key performance indicators (KPIs) such as overall equipment effectiveness and provides opportunities for improvement.  Asset Performance Monitor prepares the data and displays it in a clearly organized dashboard. OEMs can then use this data to implement well-targeted machine upgrades and offer their customers next-level service.</w:t>
      </w:r>
    </w:p>
    <w:p>
      <w:pPr>
        <w:pStyle w:val="label"/>
        <w:keepNext/>
        <w:ind w:left="0"/>
      </w:pPr>
      <w:r>
        <w:rPr>
          <w:b/>
          <w:sz w:val="20"/>
        </w:rPr>
        <w:t xml:space="preserve">Open architecture</w:t>
      </w:r>
    </w:p>
    <w:p>
      <w:pPr>
        <w:pStyle w:val="par"/>
        <w:ind w:left="0"/>
      </w:pPr>
      <w:r>
        <w:rPr/>
        <w:t xml:space="preserve">An </w:t>
      </w:r>
      <w:r>
        <w:rPr/>
        <w:t>edge device</w:t>
      </w:r>
      <w:r>
        <w:rPr/>
        <w:t xml:space="preserve"> is installed on site to collect data from a machine or production line. It receives data from the machine controller via </w:t>
      </w:r>
      <w:r>
        <w:rPr/>
        <w:t>OPC UA</w:t>
      </w:r>
      <w:r>
        <w:rPr/>
        <w:t xml:space="preserve"> and passes it on to the cloud using the MQTT protocol. The edge device automatically establishes a connection to the ABB Ability cloud and installs the necessary software. Simply logging in with a username and password gives the OEM access to Asset Performance Monitor and all the features it has to offer.</w:t>
      </w:r>
    </w:p>
    <w:p>
      <w:pPr>
        <w:pStyle w:val="label"/>
        <w:keepNext/>
        <w:ind w:left="0"/>
      </w:pPr>
      <w:r>
        <w:rPr>
          <w:b/>
          <w:sz w:val="20"/>
        </w:rPr>
        <w:t xml:space="preserve">ABB Ability platform</w:t>
      </w:r>
    </w:p>
    <w:p>
      <w:pPr>
        <w:pStyle w:val="par"/>
        <w:ind w:left="0"/>
      </w:pPr>
      <w:r>
        <w:rPr/>
        <w:t xml:space="preserve">B&amp;R's cloud applications run on ABB Ability. Security and data integrity are guaranteed by state-of-the-art security standards and transfer protocols. The Microsoft Azure infrastructure ensures reliable access to ABB Ability services all around the world, which includes all the prerequisites for future cloud applications featuring artificial intelligence and machine learning.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sset Performance Monito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Performance Monitor topology"/>
                    <pic:cNvPicPr/>
                  </pic:nvPicPr>
                  <pic:blipFill>
                    <a:blip xmlns:r="http://schemas.openxmlformats.org/officeDocument/2006/relationships" cstate="print" r:embed="N103EC"/>
                    <a:stretch>
                      <a:fillRect/>
                    </a:stretch>
                  </pic:blipFill>
                  <pic:spPr>
                    <a:xfrm>
                      <a:off x="0" y="0"/>
                      <a:ext cx="3600000" cy="2400750"/>
                    </a:xfrm>
                    <a:prstGeom prst="rect">
                      <a:avLst/>
                    </a:prstGeom>
                  </pic:spPr>
                </pic:pic>
              </a:graphicData>
            </a:graphic>
          </wp:inline>
        </w:drawing>
      </w:r>
    </w:p>
    <w:p>
      <w:pPr>
        <w:pStyle w:val="media-caption"/>
        <w:ind w:left="0"/>
      </w:pPr>
      <w:r>
        <w:t xml:space="preserve">The cloud application collects machine data around the clock and displays it in a clearly organized dashboard.</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D"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D" Target="header1.xml" Type="http://schemas.openxmlformats.org/officeDocument/2006/relationships/header"/><Relationship Id="N10501" Target="footer1.xml" Type="http://schemas.openxmlformats.org/officeDocument/2006/relationships/footer"/><Relationship Id="N103EC" Target="media/N103E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4" Target="media/N104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