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Sistem yazılımı, ürünlerin piyasaya çıkış süresini optimize ediyor</w:t>
      </w:r>
    </w:p>
    <w:p>
      <w:pPr>
        <w:pStyle w:val="label-first"/>
        <w:keepNext/>
        <w:ind w:left="0"/>
      </w:pPr>
      <w:r>
        <w:rPr>
          <w:b/>
          <w:sz w:val="20"/>
        </w:rPr>
        <w:t xml:space="preserve">ACOPOStrak ile kolay ve hızlı üretim</w:t>
      </w:r>
    </w:p>
    <w:p>
      <w:pPr>
        <w:pStyle w:val="par-first"/>
        <w:ind w:left="0"/>
        <w:jc w:val="left"/>
      </w:pPr>
      <w:r>
        <w:rPr>
          <w:i/>
          <w:i/>
        </w:rPr>
        <w:t xml:space="preserve">B&amp;R’ın sistem yazılımı mapp Trak </w:t>
      </w:r>
      <w:r>
        <w:rPr>
          <w:i/>
          <w:i/>
        </w:rPr>
        <w:t>akıllı taşıma sistemlerinin</w:t>
      </w:r>
      <w:r>
        <w:rPr>
          <w:i/>
          <w:i/>
        </w:rPr>
        <w:t xml:space="preserve"> kullanımını kolaylaştırıyor. Mühendisliği kolaylaştırıp piyasaya çıkış süresini optimize ediyor. Yazılım süreç odaklı bir programlamaya dayanır ve entegre bir simülasyona sahiptir. </w:t>
      </w:r>
    </w:p>
    <w:p>
      <w:pPr>
        <w:pStyle w:val="label"/>
        <w:keepNext/>
        <w:ind w:left="0"/>
      </w:pPr>
    </w:p>
    <w:p>
      <w:pPr>
        <w:pStyle w:val="par"/>
        <w:ind w:left="0"/>
      </w:pPr>
      <w:r>
        <w:rPr/>
        <w:t xml:space="preserve">mapp Trak sayesinde taşıma üniteleri hat üzerinde çarpışmazlar, sanal bariyerleri aşmazlar ve konfigüre edilebilen hız sınırlarını ihlal etmezler. FDA uyumlu takibin uygulanması da mapp Trak ile oldukça kolaydır. Yazılım, ürün datalarını ilgili taşıma üniteleriyle ilişkilendirir ve üretimi tamamen takip edilebilir hale getirir. </w:t>
      </w:r>
    </w:p>
    <w:p>
      <w:pPr>
        <w:pStyle w:val="label"/>
        <w:keepNext/>
        <w:ind w:left="0"/>
      </w:pPr>
      <w:r>
        <w:rPr>
          <w:b/>
          <w:sz w:val="20"/>
        </w:rPr>
        <w:t xml:space="preserve">Süreç odaklı programlama</w:t>
      </w:r>
    </w:p>
    <w:p>
      <w:pPr>
        <w:pStyle w:val="par"/>
        <w:ind w:left="0"/>
      </w:pPr>
      <w:r>
        <w:rPr/>
        <w:t xml:space="preserve">mapp Trak’de takip sistemi süreç odaklı şekilde programlanmıştır.  Uygulama yazılımı mühendisi, taşıma ünitelerinin hat üzerinde nasıl hareket etmesi gerektiğine dair kuralları belirler. Kurallar, taşıma üniteleri hat üzerinde sanal tetikleme noktalarını geçtiğinde aktif hale gelir. Hareket dizileri verimli şekilde uygulanabilir ve her taşıma ünitesi için programlama çabası önemli ölçüde azalır.  </w:t>
      </w:r>
    </w:p>
    <w:p>
      <w:pPr>
        <w:pStyle w:val="label"/>
        <w:keepNext/>
        <w:ind w:left="0"/>
      </w:pPr>
      <w:r>
        <w:rPr>
          <w:b/>
          <w:sz w:val="20"/>
        </w:rPr>
        <w:t xml:space="preserve">Verimli çalışma için simülasyon</w:t>
      </w:r>
    </w:p>
    <w:p>
      <w:pPr>
        <w:pStyle w:val="par"/>
        <w:ind w:left="0"/>
      </w:pPr>
      <w:r>
        <w:rPr/>
        <w:t xml:space="preserve">mapp Trak’e entegre olan simülasyon ile geliştirici, örneğin kaç adet taşıma ünitesiyle ve hangi hızda uygulamanın en yüksek üretkenliği sağladığını test edebilir.  Simülasyon ve gerçek tesis aynı sistem yazılımını kullanılır, bu da simülasyon ve gerçek operasyon arasında herhangi bir zamanda değişim yapmayı mümkün kılar. Taşıma ünitelerinin ek mekanik elemanlarla robotlar gibi nasıl etkileşime girdiği B&amp;R Scene Viewer ile görüntülenebilir.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mappTrak_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Trak_PR"/>
                    <pic:cNvPicPr/>
                  </pic:nvPicPr>
                  <pic:blipFill>
                    <a:blip xmlns:r="http://schemas.openxmlformats.org/officeDocument/2006/relationships" cstate="print" r:embed="N103D1"/>
                    <a:stretch>
                      <a:fillRect/>
                    </a:stretch>
                  </pic:blipFill>
                  <pic:spPr>
                    <a:xfrm>
                      <a:off x="0" y="0"/>
                      <a:ext cx="3600000" cy="2400750"/>
                    </a:xfrm>
                    <a:prstGeom prst="rect">
                      <a:avLst/>
                    </a:prstGeom>
                  </pic:spPr>
                </pic:pic>
              </a:graphicData>
            </a:graphic>
          </wp:inline>
        </w:drawing>
      </w:r>
    </w:p>
    <w:p>
      <w:pPr>
        <w:pStyle w:val="media-caption"/>
        <w:ind w:left="0"/>
      </w:pPr>
      <w:r>
        <w:t xml:space="preserve">mapp Trak, akıllı taşıma sistemlerinin kullanımını kolaylaştırır.</w:t>
      </w:r>
    </w:p>
    <w:bookmarkEnd w:id="7"/>
    <w:bookmarkEnd w:id="6"/>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52" w:type="default"/>
      <w:footerReference xmlns:r="http://schemas.openxmlformats.org/officeDocument/2006/relationships" r:id="N104E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2" Target="header1.xml" Type="http://schemas.openxmlformats.org/officeDocument/2006/relationships/header"/><Relationship Id="N104E6"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9" Target="media/N104B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