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Default ContentType="image/jpeg" Extension="jpg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header+xml" PartName="/word/header1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</Types>
</file>

<file path=_rels/.rels><?xml version="1.0" encoding="UTF-8"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pStyle w:val="headline-content-0"/>
        <w:keepNext/>
      </w:pPr>
      <w:r>
        <w:rPr>
          <w:rStyle w:val="headline-content-run0"/>
          <w:b/>
          <w:sz w:val="24"/>
        </w:rPr>
        <w:t xml:space="preserve">Pełne zintegrowanie z systemami B&amp;R</w:t>
      </w:r>
    </w:p>
    <w:p>
      <w:pPr>
        <w:pStyle w:val="label-first"/>
        <w:keepNext/>
        <w:ind w:left="0"/>
      </w:pPr>
      <w:r>
        <w:rPr>
          <w:b/>
          <w:sz w:val="20"/>
        </w:rPr>
        <w:t xml:space="preserve">Podczas SPS IPC Drives, B&amp;R zaprezentuje kompleksowe portfolio systemu wizyjnego maszyn.  </w:t>
      </w:r>
    </w:p>
    <w:p>
      <w:pPr>
        <w:pStyle w:val="par-first"/>
        <w:ind w:left="0"/>
        <w:jc w:val="left"/>
      </w:pPr>
      <w:r>
        <w:rPr>
          <w:i/>
          <w:i/>
        </w:rPr>
        <w:t xml:space="preserve">Podczas targów SPS IPC Drives, B&amp;R zaprezentuje inteligentne kamery, innowacyjne oświetlenie oraz zaawansowane algorytmy przetwarzania obrazu. Kompleksowe rozwiązanie systemu wizyjnego maszyn jest w pełni zintegrowane z systemami sterowania B&amp;R. Inne rozwiązania eksponowane na stoisku B&amp;R (hala 7 / stoisko 206/114) obejmują aplikację w chmurze dla producentów maszyn, bezpieczeństwo współpracy człowiek-maszyna oraz robotyka w pełni zintegrowana z systemami B&amp;R.</w:t>
      </w:r>
    </w:p>
    <w:p>
      <w:pPr>
        <w:pStyle w:val="label"/>
        <w:keepNext/>
        <w:ind w:left="0"/>
      </w:pPr>
    </w:p>
    <w:p>
      <w:pPr>
        <w:pStyle w:val="par"/>
        <w:ind w:left="0"/>
      </w:pPr>
      <w:r>
        <w:rPr/>
        <w:t xml:space="preserve">Pierwsza aplikacja w chmurze od B&amp;R pozwala producentom maszyn gromadzić dane z globalnej floty przez całą dobę i wyświetlać je na dogodnym pulpicie. Dzięki tym danym konstruktorzy mogą łatwo zoptymalizować maszynę, uzyskać wyższy poziom obsługi swoich klientów oraz zyskać nowe źródło przychodów. Ponadto aplikacja w chmurze wskazuje, gdzie konieczna jest konserwacja i stanowi podstawę dla zindywidualizowanej obsługi serwisowej.</w:t>
      </w:r>
    </w:p>
    <w:p>
      <w:pPr>
        <w:pStyle w:val="label"/>
        <w:keepNext/>
        <w:ind w:left="0"/>
      </w:pPr>
      <w:r>
        <w:rPr>
          <w:b/>
          <w:sz w:val="20"/>
        </w:rPr>
        <w:t xml:space="preserve">Współpraca między człowiekiem a maszyną</w:t>
      </w:r>
    </w:p>
    <w:p>
      <w:pPr>
        <w:pStyle w:val="par"/>
        <w:ind w:left="0"/>
      </w:pPr>
      <w:r>
        <w:rPr/>
        <w:t xml:space="preserve">B&amp;R jest pierwszym producentem </w:t>
      </w:r>
      <w:r>
        <w:rPr/>
        <w:t>inteligentnych systemów transportowych</w:t>
      </w:r>
      <w:r>
        <w:rPr/>
        <w:t xml:space="preserve"> umożliwiających wprowadzenie współpracy pomiędzy ludźmi a maszynami. Pięć zintegrowanych funkcji bezpieczeństwa umożliwia ludziom pracę bezpośrednio wzdłuż toru bez barier bezpieczeństwa - nie obniżając przy tym produktywności.</w:t>
      </w:r>
    </w:p>
    <w:p>
      <w:pPr>
        <w:pStyle w:val="label"/>
        <w:keepNext/>
        <w:ind w:left="0"/>
      </w:pPr>
      <w:r>
        <w:rPr>
          <w:b/>
          <w:sz w:val="20"/>
        </w:rPr>
        <w:t xml:space="preserve">Na stoisku zaprezentowane zostaną w pełni zintegrowane roboty</w:t>
      </w:r>
    </w:p>
    <w:p>
      <w:pPr>
        <w:pStyle w:val="par"/>
        <w:ind w:left="0"/>
      </w:pPr>
      <w:r>
        <w:rPr/>
        <w:t xml:space="preserve">B&amp;R poszerza zakres robotów płynnie i w pełni zintegrowanych ze swoim portfolio automatyki. Odwiedzający targi, będą mogli zobaczyć na stanowisku B&amp;R, w jaki sposób roboty różnych producentów są bezproblemowo zintegrowane z systemem sterowania B&amp;R z wykorzystaniem openROBOTICS.  Zaprezentowany zostanie zakres kinematyki od robotów do aplikacji typu "pick and place" do różnych robotów 6-osiowych.  </w:t>
      </w:r>
    </w:p>
    <w:p/>
    <w:bookmarkStart w:id="6" w:name="_XREFN100C2"/>
    <w:bookmarkStart w:id="7" w:name="_XREFN100C7"/>
    <w:p>
      <w:pPr>
        <w:keepNext/>
        <w:spacing w:after="20" w:before="0"/>
        <w:ind w:left="0"/>
      </w:pPr>
      <w:r>
        <w:drawing>
          <wp:inline xmlns:wp="http://schemas.openxmlformats.org/drawingml/2006/wordprocessingDrawing" distB="0" distL="0" distR="0" distT="0">
            <wp:extent cx="3600000" cy="2400750"/>
            <wp:effectExtent b="0" l="0" r="0" t="0"/>
            <wp:docPr id="1" name="SPS Foto für Pres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S Foto für Presse"/>
                    <pic:cNvPicPr/>
                  </pic:nvPicPr>
                  <pic:blipFill>
                    <a:blip xmlns:r="http://schemas.openxmlformats.org/officeDocument/2006/relationships" cstate="print" r:embed="N103C9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40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edia-caption"/>
        <w:ind w:left="0"/>
      </w:pPr>
      <w:r>
        <w:t xml:space="preserve">Wśród prezentowanych rozwiązań B&amp;R znajdzie się pierwsza aplikacja w chmurze dla producentów maszyn.</w:t>
      </w:r>
    </w:p>
    <w:bookmarkEnd w:id="7"/>
    <w:bookmarkEnd w:id="6"/>
    <w:p/>
    <w:p/>
    <w:p/>
    <w:p>
      <w:pPr>
        <w:pStyle w:val="headline-content-1"/>
        <w:keepNext/>
      </w:pPr>
      <w:r>
        <w:rPr>
          <w:rStyle w:val="headline-content-run1"/>
          <w:sz w:val="16"/>
        </w:rPr>
        <w:t xml:space="preserve">O firmie B&amp;R</w:t>
      </w:r>
    </w:p>
    <w:p>
      <w:pPr>
        <w:pStyle w:val="par"/>
        <w:ind w:left="0"/>
      </w:pPr>
      <w:r>
        <w:rPr>
          <w:sz w:val="16"/>
        </w:rPr>
        <w:t xml:space="preserve">B&amp;R to innowacyjna firma z branży automatyzacji z siedzibą w Austrii i przedstawicielstwami na całym świecie.  Od 6 lipca 2017 B&amp;R stała się jednostką biznesową Grupy ABB. Jako globalny lider w automatyce przemysłowej, B&amp;R łączy najnowocześniejsze technologie z kunsztem inżynieryjnym, oferując klientom z praktycznie każdej branży kompleksowe rozwiązania z zakresu automatyki maszyn i automatyki zakładowej, sterowania napędami, interfejsów HMI oraz zintegrowanej technologii bezpieczeństwa. Dzięki standardom komunikacji przemysłowej IoT, takim jak OPC UA, POWERLINK i openSAFETY, a także z wydajnym środowiskiem programistycznym Automation Studio, B&amp;R nieustannie przedefiniowuje przyszłość technologii automatyzacji. Duch innowacyjności, który prowadzi B&amp;R na szczyt przemysłowej automatyzacji, jest wzmacniany zamiłowaniem do upraszczania procesów i wyprzedzania oczekiwań klientów.</w:t>
      </w:r>
    </w:p>
    <w:p>
      <w:pPr>
        <w:pStyle w:val="par"/>
        <w:ind w:left="0"/>
      </w:pPr>
      <w:r>
        <w:rPr>
          <w:sz w:val="16"/>
        </w:rPr>
        <w:t xml:space="preserve">Aby uzyskać więcej informacji odwiedź stronę www.br-automation.com </w:t>
      </w:r>
    </w:p>
    <w:sectPr>
      <w:headerReference xmlns:r="http://schemas.openxmlformats.org/officeDocument/2006/relationships" r:id="N1044A" w:type="default"/>
      <w:footerReference xmlns:r="http://schemas.openxmlformats.org/officeDocument/2006/relationships" r:id="N104DE" w:type="default"/>
      <w:type w:val="continuous"/>
      <w:pgSz w:code="9" w:h="16839" w:w="11907"/>
      <w:pgMar w:bottom="1984" w:footer="567" w:header="567" w:left="1134" w:right="1134" w:top="2268"/>
    </w:sectPr>
  </w:body>
</w:document>
</file>

<file path=word/footer1.xml><?xml version="1.0" encoding="utf-8"?>
<w:ftr xmlns:w="http://schemas.openxmlformats.org/wordprocessingml/2006/main">
  <w:tbl>
    <w:tblPr>
      <w:tblW w:type="dxa" w:w="9638"/>
      <w:tblInd w:type="dxa" w:w="0"/>
      <w:tblLayout w:type="fixed"/>
    </w:tblPr>
    <w:tblGrid>
      <w:gridCol w:w="4819"/>
      <w:gridCol w:w="4819"/>
    </w:tblGrid>
    <w:tr>
      <w:trPr>
        <w:trHeight w:hRule="exact" w:val="1417"/>
      </w:trPr>
      <w:tc>
        <w:tcPr>
          <w:tcW w:type="dxa" w:w="4819"/>
          <w:tcMar>
            <w:top w:type="dxa" w:w="226"/>
            <w:left w:type="dxa" w:w="0"/>
            <w:right w:type="dxa" w:w="0"/>
          </w:tcMar>
          <w:vAlign w:val="top"/>
        </w:tcPr>
        <w:p>
          <w:pPr>
            <w:pStyle w:val="footer"/>
            <w:ind w:left="0"/>
            <w:jc w:val="left"/>
          </w:pPr>
          <w:r>
            <w:rPr>
              <w:sz w:val="14"/>
            </w:rPr>
            <w:t>Press contact</w:t>
          </w:r>
          <w:r>
            <w:rPr>
              <w:sz w:val="14"/>
            </w:rPr>
            <w:t xml:space="preserve">:</w:t>
          </w:r>
          <w:r>
            <w:br w:type="textWrapping"/>
          </w:r>
          <w:r>
            <w:br w:type="textWrapping"/>
          </w:r>
          <w:r>
            <w:br w:type="textWrapping"/>
          </w:r>
          <w:r>
            <w:rPr>
              <w:sz w:val="14"/>
            </w:rPr>
            <w:t xml:space="preserve">press@br-automation.com</w:t>
          </w:r>
          <w:r>
            <w:br w:type="textWrapping"/>
          </w:r>
          <w:r>
            <w:br w:type="textWrapping"/>
          </w:r>
        </w:p>
      </w:tc>
      <w:tc>
        <w:tcPr>
          <w:tcW w:type="dxa" w:w="4819"/>
          <w:tcMar>
            <w:top w:type="dxa" w:w="226"/>
            <w:left w:type="dxa" w:w="0"/>
            <w:right w:type="dxa" w:w="0"/>
          </w:tcMar>
          <w:vAlign w:val="top"/>
        </w:tcPr>
        <w:p>
          <w:pPr>
            <w:pStyle w:val="footer"/>
            <w:spacing w:after="0"/>
            <w:ind w:left="0"/>
            <w:jc w:val="right"/>
          </w:pPr>
          <w:r>
            <w:br w:type="textWrapping"/>
          </w:r>
          <w:r>
            <w:rPr>
              <w:sz w:val="14"/>
            </w:rPr>
            <w:t>Strona</w:t>
          </w:r>
          <w:r>
            <w:rPr>
              <w:rFonts w:ascii="Arial" w:hAnsi="Arial"/>
            </w:rPr>
            <w:t> </w:t>
          </w:r>
          <w:r>
            <w:rPr>
              <w:b/>
              <w:sz w:val="14"/>
            </w:rPr>
            <w:fldChar w:fldCharType="begin"/>
            <w:instrText xml:space="preserve"> PAGE \* Arabic </w:instrText>
            <w:fldChar w:fldCharType="end"/>
          </w:r>
          <w:r>
            <w:rPr>
              <w:b/>
              <w:sz w:val="14"/>
            </w:rPr>
            <w:t xml:space="preserve">/</w:t>
          </w:r>
          <w:r>
            <w:rPr>
              <w:b/>
              <w:sz w:val="14"/>
            </w:rPr>
            <w:fldChar w:fldCharType="begin"/>
            <w:instrText xml:space="preserve"> NUMPAGES   \* MERGEFORMAT </w:instrText>
            <w:fldChar w:fldCharType="end"/>
          </w:r>
        </w:p>
      </w:tc>
    </w:tr>
  </w:tbl>
</w:ftr>
</file>

<file path=word/footnotes.xml><?xml version="1.0" encoding="utf-8"?>
<w:footnotes xmlns:w="http://schemas.openxmlformats.org/wordprocessingml/2006/main"/>
</file>

<file path=word/header1.xml><?xml version="1.0" encoding="utf-8"?>
<w:hdr xmlns:w="http://schemas.openxmlformats.org/wordprocessingml/2006/main">
  <w:tbl>
    <w:tblPr>
      <w:tblW w:type="dxa" w:w="9638"/>
      <w:tblInd w:type="dxa" w:w="0"/>
      <w:tblLayout w:type="fixed"/>
    </w:tblPr>
    <w:tblGrid>
      <w:gridCol w:w="5783"/>
      <w:gridCol w:w="3855"/>
    </w:tblGrid>
    <w:tr>
      <w:trPr/>
      <w:tc>
        <w:tcPr>
          <w:tcW w:type="dxa" w:w="5783"/>
          <w:shd w:fill="FFFFFF" w:val="clear"/>
          <w:tcMar>
            <w:top w:type="dxa" w:w="226"/>
            <w:left w:type="dxa" w:w="0"/>
            <w:bottom w:type="dxa" w:w="226"/>
            <w:right w:type="dxa" w:w="0"/>
          </w:tcMar>
          <w:vAlign w:val="bottom"/>
        </w:tcPr>
        <w:p>
          <w:pPr>
            <w:pStyle w:val="header"/>
            <w:spacing w:after="0"/>
            <w:ind w:left="0"/>
            <w:jc w:val="left"/>
          </w:pPr>
          <w:r>
            <w:rPr>
              <w:b/>
              <w:color w:val="000000"/>
              <w:sz w:val="32"/>
            </w:rPr>
            <w:t>Press release</w:t>
          </w:r>
        </w:p>
      </w:tc>
      <w:tc>
        <w:tcPr>
          <w:tcW w:type="dxa" w:w="3855"/>
          <w:shd w:fill="FFFFFF" w:val="clear"/>
          <w:tcMar>
            <w:top w:type="dxa" w:w="226"/>
            <w:left w:type="dxa" w:w="0"/>
            <w:bottom w:type="dxa" w:w="226"/>
            <w:right w:type="dxa" w:w="0"/>
          </w:tcMar>
          <w:vAlign w:val="bottom"/>
        </w:tcPr>
        <w:p>
          <w:pPr>
            <w:pStyle w:val="header-logo"/>
            <w:spacing w:after="0"/>
            <w:ind w:left="0"/>
            <w:jc w:val="right"/>
          </w:pPr>
          <w:r>
            <w:drawing>
              <wp:inline xmlns:wp="http://schemas.openxmlformats.org/drawingml/2006/wordprocessingDrawing" distB="0" distL="0" distR="0" distT="0">
                <wp:extent cx="1505712" cy="518160"/>
                <wp:effectExtent b="0" l="0" r="0" t="0"/>
                <wp:docPr id="2" name="logo 20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2022"/>
                        <pic:cNvPicPr/>
                      </pic:nvPicPr>
                      <pic:blipFill>
                        <a:blip xmlns:r="http://schemas.openxmlformats.org/officeDocument/2006/relationships" cstate="print" r:embed="N104B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5712" cy="518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hdr>
</file>

<file path=word/numbering.xml><?xml version="1.0" encoding="utf-8"?>
<w:numbering xmlns:w="http://schemas.openxmlformats.org/wordprocessingml/2006/main">
  <w:abstractNum w:abstractNumId="2">
    <w:nsid w:val="0E6454FE"/>
    <w:multiLevelType w:val="multilevel"/>
    <w:tmpl w:val="D386552E"/>
    <w:lvl w:ilvl="0">
      <w:start w:val="1"/>
      <w:pStyle w:val="headline-content-1"/>
      <w:suff w:val="tab"/>
      <w:lvlText w:val="%1"/>
      <w:lvlJc w:val="left"/>
      <w:pPr>
        <w:tabs>
          <w:tab w:pos="1417.5" w:val="num"/>
        </w:tabs>
        <w:ind w:hanging="1417.5" w:left="1417.5"/>
      </w:pPr>
    </w:lvl>
    <w:lvl w:ilvl="1">
      <w:start w:val="1"/>
      <w:suff w:val="tab"/>
      <w:lvlText w:val="%1.%2"/>
      <w:lvlJc w:val="left"/>
      <w:pPr>
        <w:tabs>
          <w:tab w:pos="1417.5" w:val="num"/>
        </w:tabs>
        <w:ind w:hanging="1417.5" w:left="1417.5"/>
      </w:pPr>
    </w:lvl>
    <w:lvl w:ilvl="2">
      <w:start w:val="1"/>
      <w:suff w:val="tab"/>
      <w:lvlText w:val="%1.%2.%3"/>
      <w:lvlJc w:val="left"/>
      <w:pPr>
        <w:tabs>
          <w:tab w:pos="1417.5" w:val="num"/>
        </w:tabs>
        <w:ind w:hanging="1417.5" w:left="1417.5"/>
      </w:pPr>
    </w:lvl>
    <w:lvl w:ilvl="3">
      <w:start w:val="1"/>
      <w:suff w:val="tab"/>
      <w:lvlText w:val="%1.%2.%3.%4"/>
      <w:lvlJc w:val="left"/>
      <w:pPr>
        <w:tabs>
          <w:tab w:pos="1417.5" w:val="num"/>
        </w:tabs>
        <w:ind w:hanging="1417.5" w:left="1417.5"/>
      </w:pPr>
    </w:lvl>
    <w:lvl w:ilvl="4">
      <w:start w:val="1"/>
      <w:suff w:val="tab"/>
      <w:lvlText w:val="%1.%2.%3.%4.%5"/>
      <w:lvlJc w:val="left"/>
      <w:pPr>
        <w:tabs>
          <w:tab w:pos="1417.5" w:val="num"/>
        </w:tabs>
        <w:ind w:hanging="1417.5" w:left="1417.5"/>
      </w:pPr>
    </w:lvl>
    <w:lvl w:ilvl="5">
      <w:start w:val="1"/>
      <w:suff w:val="tab"/>
      <w:lvlText w:val="%1.%2.%3.%4.%5.%6"/>
      <w:lvlJc w:val="left"/>
      <w:pPr>
        <w:tabs>
          <w:tab w:pos="1417.5" w:val="num"/>
        </w:tabs>
        <w:ind w:hanging="1417.5" w:left="1417.5"/>
      </w:pPr>
    </w:lvl>
    <w:lvl w:ilvl="6">
      <w:start w:val="1"/>
      <w:suff w:val="tab"/>
      <w:lvlText w:val="%1.%2.%3.%4.%5.%6.%7"/>
      <w:lvlJc w:val="left"/>
      <w:pPr>
        <w:tabs>
          <w:tab w:pos="1417.5" w:val="num"/>
        </w:tabs>
        <w:ind w:hanging="1417.5" w:left="1417.5"/>
      </w:pPr>
    </w:lvl>
    <w:lvl w:ilvl="7">
      <w:start w:val="1"/>
      <w:suff w:val="tab"/>
      <w:lvlText w:val="%1.%2.%3.%4.%5.%6.%7.%8"/>
      <w:lvlJc w:val="left"/>
      <w:pPr>
        <w:tabs>
          <w:tab w:pos="1417.5" w:val="num"/>
        </w:tabs>
        <w:ind w:hanging="1417.5" w:left="1417.5"/>
      </w:pPr>
    </w:lvl>
  </w:abstractNum>
  <w:abstractNum w:abstractNumId="6">
    <w:multiLevelType w:val="hybridMultilevel"/>
    <w:lvl w:ilvl="0" w:tplc="CB7E2DBC">
      <w:start w:val="1"/>
      <w:numFmt w:val="bullet"/>
      <w:lvlText w:val="►"/>
      <w:lvlJc w:val="left"/>
      <w:pPr>
        <w:ind w:hanging="360" w:left="720"/>
      </w:pPr>
      <w:rPr>
        <w:rFonts w:ascii="Arial" w:eastAsia="AR PL KaitiM Big5" w:hAnsi="Arial" w:hint="default"/>
        <w:color w:val="97AA61"/>
        <w:sz w:val="16"/>
      </w:rPr>
    </w:lvl>
  </w:abstractNum>
  <w:num w:numId="3">
    <w:abstractNumId w:val="2"/>
  </w:num>
  <w:num w:numId="7">
    <w:abstractNumId w:val="6"/>
  </w:num>
  <w:numIdMacAtCleanup w:val="12"/>
</w:numbering>
</file>

<file path=word/settings.xml><?xml version="1.0" encoding="utf-8"?>
<w:settings xmlns:w="http://schemas.openxmlformats.org/wordprocessingml/2006/main">
  <w:view w:val="print"/>
  <w:zoom w:percent="100"/>
  <w:embedSystemFonts w:val="off"/>
  <w:defaultTabStop w:val="708"/>
  <w:autoHyphenation/>
  <w:hyphenationZone w:val="425"/>
  <w:noPunctuationKerning w:val="on"/>
  <w:characterSpacingControl w:val="doNotCompress"/>
  <w:ignoreMixedContent w:val="off"/>
  <w:alwaysShowPlaceholderText w:val="off"/>
  <w:compat>
    <w:suppressTopSpacing w:val="on"/>
    <w:suppressSpBfAfterPgBrk w:val="on"/>
    <w:doNotBreakWrappedTables w:val="off"/>
    <w:doNotSnapToGridInCell w:val="off"/>
    <w:doNotWrapTextWithPunct w:val="off"/>
    <w:doNotUseEastAsianBreakRules w:val="off"/>
    <w:growAutofit w:val="off"/>
  </w:compat>
</w:settings>
</file>

<file path=word/styles.xml><?xml version="1.0" encoding="utf-8"?>
<w:styles xmlns:w="http://schemas.openxmlformats.org/wordprocessingml/2006/main">
  <w:docDefaults>
    <w:rPrDefault>
      <w:rPr/>
    </w:rPrDefault>
    <w:pPrDefault>
      <w:pPr/>
    </w:pPrDefault>
  </w:docDefaults>
  <w:style w:default="on" w:styleId="default" w:type="paragraph">
    <w:name w:val="default"/>
    <w:pPr>
      <w:jc w:val="left"/>
    </w:pPr>
    <w:rPr>
      <w:rFonts w:ascii="Arial" w:hAnsi="Arial"/>
      <w:sz w:val="20"/>
    </w:rPr>
  </w:style>
  <w:style w:styleId="container-block" w:type="paragraph">
    <w:name w:val="container-block"/>
    <w:basedOn w:val="default"/>
    <w:pPr>
      <w:spacing w:after="200"/>
      <w:jc w:val="left"/>
    </w:pPr>
  </w:style>
  <w:style w:styleId="header" w:type="paragraph">
    <w:name w:val="header"/>
    <w:basedOn w:val="default"/>
    <w:pPr>
      <w:shd w:fill="FFFFFF" w:val="clear"/>
      <w:jc w:val="left"/>
    </w:pPr>
    <w:rPr>
      <w:b/>
      <w:color w:val="000000"/>
      <w:sz w:val="32"/>
    </w:rPr>
  </w:style>
  <w:style w:styleId="header-logo" w:type="paragraph">
    <w:name w:val="header-logo"/>
    <w:basedOn w:val="default"/>
    <w:pPr>
      <w:shd w:fill="FFFFFF" w:val="clear"/>
    </w:pPr>
    <w:rPr>
      <w:b/>
      <w:caps/>
      <w:color w:val="FFFFFF"/>
      <w:sz w:val="32"/>
    </w:rPr>
  </w:style>
  <w:style w:styleId="table-cell" w:type="paragraph">
    <w:name w:val="table-cell"/>
    <w:basedOn w:val="default"/>
    <w:pPr/>
  </w:style>
  <w:style w:styleId="footer" w:type="paragraph">
    <w:name w:val="footer"/>
    <w:basedOn w:val="default"/>
    <w:pPr>
      <w:jc w:val="left"/>
    </w:pPr>
    <w:rPr>
      <w:sz w:val="14"/>
    </w:rPr>
  </w:style>
  <w:style w:styleId="headline-content" w:type="paragraph">
    <w:name w:val="headline-content"/>
    <w:basedOn w:val="default"/>
    <w:pPr>
      <w:keepNext/>
      <w:spacing w:after="260" w:before="240"/>
      <w:jc w:val="left"/>
    </w:pPr>
    <w:rPr>
      <w:sz w:val="24"/>
    </w:rPr>
  </w:style>
  <w:style w:styleId="headline-content-0" w:type="paragraph">
    <w:name w:val="headline-content-0"/>
    <w:basedOn w:val="headline-content"/>
    <w:next w:val="par"/>
    <w:pPr>
      <w:keepNext/>
      <w:spacing w:after="0" w:before="240"/>
      <w:jc w:val="left"/>
    </w:pPr>
    <w:rPr>
      <w:b/>
    </w:rPr>
  </w:style>
  <w:style w:styleId="headline-content-0-hidden" w:type="paragraph">
    <w:basedOn w:val="headline-content-0"/>
  </w:style>
  <w:style w:styleId="headline-content-1" w:type="paragraph">
    <w:name w:val="headline-content-1"/>
    <w:basedOn w:val="headline-content"/>
    <w:next w:val="par"/>
    <w:pPr>
      <w:spacing w:after="0"/>
      <w:jc w:val="left"/>
      <w:outlineLvl w:val="0"/>
    </w:pPr>
    <w:rPr>
      <w:sz w:val="16"/>
    </w:rPr>
  </w:style>
  <w:style w:styleId="headline-content-1-hidden" w:type="paragraph">
    <w:basedOn w:val="headline-content-1"/>
  </w:style>
  <w:style w:styleId="label-first" w:type="paragraph">
    <w:name w:val="label-first"/>
    <w:basedOn w:val="default"/>
    <w:pPr>
      <w:spacing w:after="200"/>
    </w:pPr>
    <w:rPr>
      <w:b/>
      <w:sz w:val="20"/>
    </w:rPr>
  </w:style>
  <w:style w:styleId="label" w:type="paragraph">
    <w:name w:val="label"/>
    <w:basedOn w:val="default"/>
    <w:pPr>
      <w:suppressAutoHyphens w:val="on"/>
      <w:spacing w:before="200"/>
      <w:jc w:val="left"/>
    </w:pPr>
    <w:rPr>
      <w:b/>
      <w:sz w:val="20"/>
    </w:rPr>
  </w:style>
  <w:style w:styleId="par" w:type="paragraph">
    <w:name w:val="par"/>
    <w:basedOn w:val="default"/>
    <w:pPr>
      <w:suppressAutoHyphens w:val="on"/>
      <w:spacing w:after="200"/>
      <w:jc w:val="left"/>
    </w:pPr>
    <w:rPr/>
  </w:style>
  <w:style w:styleId="par-first" w:type="paragraph">
    <w:name w:val="par-first"/>
    <w:basedOn w:val="default"/>
    <w:pPr>
      <w:suppressAutoHyphens w:val="on"/>
      <w:spacing w:after="200"/>
      <w:jc w:val="left"/>
    </w:pPr>
    <w:rPr>
      <w:i/>
    </w:rPr>
  </w:style>
  <w:style w:styleId="media" w:type="paragraph">
    <w:name w:val="media"/>
    <w:basedOn w:val="default"/>
    <w:pPr>
      <w:ind w:right="3969"/>
    </w:pPr>
  </w:style>
  <w:style w:styleId="media-caption" w:type="paragraph">
    <w:name w:val="media-caption"/>
    <w:basedOn w:val="default"/>
    <w:pPr>
      <w:spacing w:before="120"/>
    </w:pPr>
    <w:rPr>
      <w:sz w:val="18"/>
    </w:rPr>
  </w:style>
  <w:style w:styleId="PageMargins" w:type="paragraph">
    <w:name w:val="PageMargins"/>
    <w:basedOn w:val="default"/>
    <w:pPr/>
  </w:style>
  <w:style w:styleId="Heading0" w:type="paragraph">
    <w:name w:val="Heading 0"/>
    <w:basedOn w:val="headline-content-0"/>
  </w:style>
  <w:style w:styleId="Heading1" w:type="paragraph">
    <w:name w:val="Heading 1"/>
    <w:basedOn w:val="headline-content-1"/>
  </w:style>
  <w:style w:styleId="Heading2" w:type="paragraph">
    <w:name w:val="Heading 2"/>
    <w:basedOn w:val="headline-content-2"/>
  </w:style>
  <w:style w:styleId="Heading3" w:type="paragraph">
    <w:name w:val="Heading 3"/>
    <w:basedOn w:val="headline-content-3"/>
  </w:style>
  <w:style w:styleId="Heading4" w:type="paragraph">
    <w:name w:val="Heading 4"/>
    <w:basedOn w:val="headline-content-4"/>
  </w:style>
  <w:style w:styleId="Heading5" w:type="paragraph">
    <w:name w:val="Heading 5"/>
    <w:basedOn w:val="headline-content-5"/>
  </w:style>
  <w:style w:styleId="Heading6" w:type="paragraph">
    <w:name w:val="Heading 6"/>
    <w:basedOn w:val="headline-content-6"/>
  </w:style>
  <w:style w:styleId="Heading7" w:type="paragraph">
    <w:name w:val="Heading 7"/>
    <w:basedOn w:val="headline-content-7"/>
  </w:style>
  <w:style w:styleId="headline-content-run0" w:type="character">
    <w:name w:val="headline-content-run 0"/>
  </w:style>
  <w:style w:styleId="headline-content-run1" w:type="character">
    <w:name w:val="headline-content-run 1"/>
  </w:style>
  <w:style w:styleId="headline-content-run2" w:type="character">
    <w:name w:val="headline-content-run 2"/>
  </w:style>
  <w:style w:styleId="headline-content-run3" w:type="character">
    <w:name w:val="headline-content-run 3"/>
  </w:style>
  <w:style w:styleId="headline-content-run4" w:type="character">
    <w:name w:val="headline-content-run 4"/>
  </w:style>
  <w:style w:styleId="headline-content-run5" w:type="character">
    <w:name w:val="headline-content-run 5"/>
  </w:style>
  <w:style w:styleId="headline-content-run6" w:type="character">
    <w:name w:val="headline-content-run 6"/>
  </w:style>
  <w:style w:styleId="headline-content-run7" w:type="character">
    <w:name w:val="headline-content-run 7"/>
  </w:style>
  <w:style w:styleId="TOC1" w:type="paragraph">
    <w:name w:val="toc 1"/>
    <w:basedOn w:val="default"/>
    <w:semiHidden/>
    <w:pPr>
      <w:tabs>
        <w:tab w:leader="dot" w:pos="9639" w:val="right"/>
      </w:tabs>
      <w:spacing w:after="0" w:before="0"/>
      <w:ind w:hanging="0" w:left="0"/>
    </w:pPr>
  </w:style>
  <w:style w:styleId="TOC2" w:type="paragraph">
    <w:name w:val="toc 2"/>
    <w:basedOn w:val="default"/>
    <w:semiHidden/>
    <w:pPr>
      <w:tabs>
        <w:tab w:pos="340.20000000000005" w:val="left"/>
        <w:tab w:leader="dot" w:pos="9639" w:val="right"/>
      </w:tabs>
      <w:spacing w:after="0" w:before="0"/>
      <w:ind w:hanging="340.20000000000005" w:left="340.20000000000005"/>
    </w:pPr>
  </w:style>
  <w:style w:styleId="TOC3" w:type="paragraph">
    <w:name w:val="toc 3"/>
    <w:basedOn w:val="default"/>
    <w:semiHidden/>
    <w:pPr>
      <w:tabs>
        <w:tab w:pos="340.20000000000005" w:val="left"/>
        <w:tab w:leader="dot" w:pos="9639" w:val="right"/>
      </w:tabs>
      <w:spacing w:after="0" w:before="0"/>
      <w:ind w:hanging="340.20000000000005" w:left="340.20000000000005"/>
    </w:pPr>
  </w:style>
  <w:style w:styleId="TOC4" w:type="paragraph">
    <w:name w:val="toc 4"/>
    <w:basedOn w:val="default"/>
    <w:semiHidden/>
    <w:pPr>
      <w:tabs>
        <w:tab w:pos="340.20000000000005" w:val="left"/>
        <w:tab w:leader="dot" w:pos="9639" w:val="right"/>
      </w:tabs>
      <w:spacing w:after="0" w:before="0"/>
      <w:ind w:hanging="340.20000000000005" w:left="340.20000000000005"/>
    </w:pPr>
  </w:style>
  <w:style w:styleId="TOC5" w:type="paragraph">
    <w:name w:val="toc 5"/>
    <w:basedOn w:val="default"/>
    <w:semiHidden/>
    <w:pPr>
      <w:tabs>
        <w:tab w:pos="340.20000000000005" w:val="left"/>
        <w:tab w:leader="dot" w:pos="9639" w:val="right"/>
      </w:tabs>
      <w:spacing w:after="0" w:before="0"/>
      <w:ind w:hanging="340.20000000000005" w:left="340.20000000000005"/>
    </w:pPr>
  </w:style>
  <w:style w:styleId="IndexHeading" w:type="paragraph">
    <w:name w:val="index heading"/>
    <w:basedOn w:val="default"/>
  </w:style>
  <w:style w:styleId="Index1" w:type="paragraph">
    <w:name w:val="index 1"/>
    <w:basedOn w:val="default"/>
  </w:style>
  <w:style w:styleId="Index2" w:type="paragraph">
    <w:name w:val="index 2"/>
    <w:basedOn w:val="default"/>
    <w:pPr>
      <w:ind w:hanging="200" w:left="480"/>
    </w:pPr>
  </w:style>
  <w:style w:styleId="TableofFigures" w:type="paragraph">
    <w:name w:val="table of figures"/>
    <w:basedOn w:val="default"/>
  </w:style>
  <w:style w:styleId="FootnoteReference" w:type="character">
    <w:name w:val="footnote reference"/>
    <w:rPr>
      <w:vertAlign w:val="superscri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?><Relationships xmlns="http://schemas.openxmlformats.org/package/2006/relationships"><Relationship Id="rId1" Target="styles.xml" Type="http://schemas.openxmlformats.org/officeDocument/2006/relationships/styles"/><Relationship Id="N1044A" Target="header1.xml" Type="http://schemas.openxmlformats.org/officeDocument/2006/relationships/header"/><Relationship Id="N104DE" Target="footer1.xml" Type="http://schemas.openxmlformats.org/officeDocument/2006/relationships/footer"/><Relationship Id="N103C9" Target="media/N103C9.jpg" Type="http://schemas.openxmlformats.org/officeDocument/2006/relationships/image"/><Relationship Id="rId5" Target="footnotes.xml" Type="http://schemas.openxmlformats.org/officeDocument/2006/relationships/footnotes"/><Relationship Id="rId6" Target="numbering.xml" Type="http://schemas.openxmlformats.org/officeDocument/2006/relationships/numbering"/><Relationship Id="rId7" Target="settings.xml" Type="http://schemas.openxmlformats.org/officeDocument/2006/relationships/settings"/><Relationship Id="rId8" Target="webSettings.xml" Type="http://schemas.openxmlformats.org/officeDocument/2006/relationships/webSettings"/></Relationships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N104B1" Target="media/N104B1.jpg" Type="http://schemas.openxmlformats.org/officeDocument/2006/relationships/image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>
  <dc:title/>
  <dc:creator>Smart Media Creator</dc:creator>
  <cp:lastModifiedBy>Smart Media Creator</cp:lastModifiedBy>
  <cp:revision>1</cp:revision>
</cp:coreProperties>
</file>