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annuncia la fine della guerra dei bus industriali!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In prima linea per la liberazione del campo</w:t>
      </w:r>
    </w:p>
    <w:p>
      <w:pPr>
        <w:pStyle w:val="par-first"/>
        <w:ind w:left="0"/>
        <w:jc w:val="left"/>
      </w:pPr>
      <w:r>
        <w:rPr>
          <w:i/>
          <w:i/>
        </w:rPr>
        <w:t xml:space="preserve">OPC UA su TSN sarà lo standard di comunicazione unificato dell'Internet degli oggetti industriali. La standardizzazione e il continuo sviluppo dell'OPC UA a livello di campo avverrà sotto la guida della OPC Foundation. Si tratta di una risposta lungamente attesa alla richiesta del mercato di una comunicazione industriale indipendente e universale, senza interfacce.</w:t>
      </w:r>
    </w:p>
    <w:p>
      <w:pPr>
        <w:pStyle w:val="par"/>
        <w:ind w:left="0"/>
      </w:pPr>
      <w:r>
        <w:rPr/>
        <w:t xml:space="preserve">B&amp;R è orgogliosa di dire che è stata uno dei principali iniziatori e attori dello sviluppo e della standardizzazione di OPC UA su TSN con l’obiettivo di garantire la comunicazione aperta a livello di controllore e di campo, donando a costruttori di macchine e operatori una comunicazione indipendente dal fornitore di automazione. </w:t>
      </w:r>
    </w:p>
    <w:p>
      <w:pPr>
        <w:pStyle w:val="par"/>
        <w:ind w:left="0"/>
      </w:pPr>
      <w:r>
        <w:rPr/>
        <w:t xml:space="preserve">B&amp;R svolge un ruolo di primo piano nelle corrispondenti organizzazioni di standardizzazione: OPC Foundation, IEC/IEEE e VDMA e partecipa attivamente anche a banchi di test come quelli condotti dall'Industrial Internet Consortium. "Stiamo lavorando per fare in modo che sia i costruttori sia gli operatori di macchine industriali possano apprezzare i reali benefici di una comunicazione armonizzata nel più breve tempo possibile", afferma Stefan Schönegger, vicepresidente della Strategy e Innovation di B&amp;R. Inoltre, un collega del gruppo ABB è stato nominato nel consiglio di amministrazione della OPC Foundation.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18 volte più veloce: verso il motion control</w:t>
      </w:r>
    </w:p>
    <w:p>
      <w:pPr>
        <w:pStyle w:val="par"/>
        <w:ind w:left="0"/>
      </w:pPr>
      <w:r>
        <w:rPr/>
        <w:t xml:space="preserve">OPC UA su TSN abilita reti plug-and-produce, reti che sono facili da gestire e configurare. Una comunicazione fino a 18 volte più veloce di qualsiasi protocollo attualmente disponibile sul mercato, consentirà applicazioni di controllo che richiedono sincronizzazioni stringenti, incluso il motion control.</w:t>
      </w:r>
    </w:p>
    <w:p>
      <w:pPr>
        <w:pStyle w:val="par"/>
        <w:ind w:left="0"/>
      </w:pPr>
      <w:r>
        <w:rPr/>
        <w:t xml:space="preserve">OPC UA su TSN soddisferà anche i requisiti delle future applicazioni IoT. Questa tecnologia supporta reti che comprendono decine di migliaia di nodi e beneficia della larghezza di banda dello standard Ethernet. Anche grandi volumi di dati, come quelli generati dalle applicazioni di visione industriale integrata, potranno essere gestiti con facilità.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Dal sensore al cloud: IT e OT si fondono</w:t>
      </w:r>
    </w:p>
    <w:p>
      <w:pPr>
        <w:pStyle w:val="par"/>
        <w:ind w:left="0"/>
      </w:pPr>
      <w:r>
        <w:rPr/>
        <w:t xml:space="preserve">OPC UA consente una comunicazione trasparente e senza soluzione di continuità dal sensore al cloud. I mondi IT e OT si fondono in una rete unificata, soddisfacendo un requisito chiave di tutte le applicazioni industriali dell'internet degli oggetti. Sia l'OPC UA sia l'estensione TSN Ethernet sono gestiti e sviluppati da organizzazioni indipendenti, rendendo l'OPC UA su TSN un vero e proprio protocollo indipendente. "In termini di comunicazione, i costruttori di macchine e gli operatori non sono più legati a fornitori specifici", spiega Schönegger.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chönegger Stef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önegger Stefan"/>
                    <pic:cNvPicPr/>
                  </pic:nvPicPr>
                  <pic:blipFill>
                    <a:blip xmlns:r="http://schemas.openxmlformats.org/officeDocument/2006/relationships" cstate="print" r:embed="N103C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“L’epoca dei protocolli di comunicazione industriale disparati è terminata”, conferma Stefan Schönegger, vice presidente Strategy and innovations in B&amp;R.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50" w:type="default"/>
      <w:footerReference xmlns:r="http://schemas.openxmlformats.org/officeDocument/2006/relationships" r:id="N104E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0" Target="header1.xml" Type="http://schemas.openxmlformats.org/officeDocument/2006/relationships/header"/><Relationship Id="N104E4" Target="footer1.xml" Type="http://schemas.openxmlformats.org/officeDocument/2006/relationships/footer"/><Relationship Id="N103CE" Target="media/N103C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7" Target="media/N104B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