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Iluminación óptima para cada situación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presenta el sistema de iluminación para su solución de visión artificial</w:t>
      </w:r>
    </w:p>
    <w:p>
      <w:pPr>
        <w:pStyle w:val="par-first"/>
        <w:ind w:left="0"/>
        <w:jc w:val="left"/>
      </w:pPr>
      <w:r>
        <w:rPr>
          <w:i/>
          <w:i/>
        </w:rPr>
        <w:t xml:space="preserve">El sistema de visión integrado de B&amp;R incluye innovadores componentes de iluminación. Las barras de luz flexible y los sistemas de retroiluminación garantizan unos resultados óptimos, incluso en situaciones de iluminación difíciles. El control de iluminación está sincronizado con el sistema de automatización en el rango sub-µs.</w:t>
      </w:r>
    </w:p>
    <w:p>
      <w:pPr>
        <w:pStyle w:val="par"/>
        <w:ind w:left="0"/>
      </w:pPr>
      <w:r>
        <w:rPr/>
        <w:t xml:space="preserve">Como partes integrales del sistema de automatización, tanto las cámaras como la iluminación se sincronizan fácilmente con otros sensores, posiciones del motor y eventos en la aplicación de la máquina. El control de la iluminación con una precisión de microsegundos está garantizado incluso al sincronizar múltiples cámaras y fuentes de luz.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Gran variedad de posibilidades</w:t>
      </w:r>
    </w:p>
    <w:p>
      <w:pPr>
        <w:pStyle w:val="par"/>
        <w:ind w:left="0"/>
      </w:pPr>
      <w:r>
        <w:rPr/>
        <w:t xml:space="preserve">Las barras de luz flexibles están disponibles individualmente o dispuestas como luces anulares en grupos de cuatro, seis u ocho. Los sistemas de retroiluminación están disponibles en dos tamaños. Cada luz puede incorporar hasta cuatro colores diferentes de LED a la vez. La selección abarca desde el blanco y varios colores visibles hasta el infrarrojo y el ultravioleta. De esta forma resulta posible conseguir el contraste, el color, la iluminación y la intensidad correctos para todo tipo de aplicaciones. </w:t>
      </w:r>
    </w:p>
    <w:p>
      <w:pPr>
        <w:pStyle w:val="par"/>
        <w:ind w:left="0"/>
      </w:pPr>
      <w:r>
        <w:rPr/>
        <w:t xml:space="preserve">Las barras de luz de B&amp;R ofrecen un ajuste electrónico de ángulo desde -40° hasta 90°. Al producir múltiples productos en la misma máquina, puede optimizarse el ángulo de iluminación para cada lote: una vez configurado, se puede guardar como parte de los parámetros del lote.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Configuración durante el funcionamiento</w:t>
      </w:r>
    </w:p>
    <w:p>
      <w:pPr>
        <w:pStyle w:val="par"/>
        <w:ind w:left="0"/>
      </w:pPr>
      <w:r>
        <w:rPr/>
        <w:t xml:space="preserve">El resto de los parámetros de iluminación también pueden configurarse durante el funcionamiento para optimizar la iluminación o adaptarse a nuevos productos. La combinación de LED de diferentes colores permite ajustar la longitud de onda durante el funcionamiento para optimizar el contraste.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El ojo de la máquina</w:t>
      </w:r>
    </w:p>
    <w:p>
      <w:pPr>
        <w:pStyle w:val="par"/>
        <w:ind w:left="0"/>
      </w:pPr>
      <w:r>
        <w:rPr/>
        <w:t xml:space="preserve">B&amp;R ha integrado a la perfección la visión artificial en su sistema de automatización. La gama de productos incluye cámaras inteligentes, lentes de calidad, iluminación flexible y potentes algoritmos de procesamiento de imágenes. El elevado grado de integración se puede encontrar en todos los niveles del sistema de B&amp;R, con la visión artificial totalmente incorporada en la herramienta de ingeniería, el sistema operativo en tiempo real y la aplicación de la máquina. Cualquier ingeniero de automatización ahora puede implementar por su cuenta gran parte de las aplicaciones de visión artificial.</w:t>
      </w:r>
    </w:p>
    <w:p/>
    <w:bookmarkStart w:id="8" w:name="_XREFN100C2"/>
    <w:bookmarkStart w:id="9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Vision Inno 19 - 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sion Inno 19 - PR"/>
                    <pic:cNvPicPr/>
                  </pic:nvPicPr>
                  <pic:blipFill>
                    <a:blip xmlns:r="http://schemas.openxmlformats.org/officeDocument/2006/relationships" cstate="print" r:embed="N103E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La gama de productos de iluminación de B&amp;R incluye barras de luz flexibles, sistemas de retroiluminación y luces anulares.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65" w:type="default"/>
      <w:footerReference xmlns:r="http://schemas.openxmlformats.org/officeDocument/2006/relationships" r:id="N104F9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5" Target="header1.xml" Type="http://schemas.openxmlformats.org/officeDocument/2006/relationships/header"/><Relationship Id="N104F9" Target="footer1.xml" Type="http://schemas.openxmlformats.org/officeDocument/2006/relationships/footer"/><Relationship Id="N103E4" Target="media/N103E4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C" Target="media/N104CC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