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Контроллер и мультисенсорный дисплей в одном устройстве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Новая панель B&amp;R оснащена процессором для приложений визуализации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Панель Power Panel объединяет в одном корпусе мощный контроллер и современный проекционно-ёмкостный сенсорный экран. Кроме того, панель Power Panel C50 оснащена отдельным процессором для приложения визуализации и является оптимальным решением для приложений mapp View. Она работает при температурах от -20 до +60 градусов по Цельсию и не требует активного охлаждения.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Современный мультисенсорный интерфейс HMI доступен в вариантах с прозрачным или антибликовым стеклом и идеально подходит для оборудования премиум-класса. Сенсорный экран отличается чрезвычайной точностью и безотказной работой, даже если на операторе толстые кожаные перчатки. Поддержка таких жестов, как прокрутка или масштабирование, делает управление интуитивно понятным для пользователя. Панели серии </w:t>
      </w:r>
      <w:r>
        <w:rPr/>
        <w:t>Power Panel C50</w:t>
      </w:r>
      <w:r>
        <w:rPr/>
        <w:t xml:space="preserve"> имеют широкоформатный размер экрана и доступны в четырех разных размерах с диагональю дисплея от 7.0" до 15.6".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Компактность и отсутствие необходимости в обслуживании</w:t>
      </w:r>
    </w:p>
    <w:p>
      <w:pPr>
        <w:pStyle w:val="par"/>
        <w:ind w:left="0"/>
      </w:pPr>
      <w:r>
        <w:rPr/>
        <w:t xml:space="preserve">Данная модель Power Panel чрезвычайно компактна, имеет минимальную глубину установки и продуманную систему кабелей, что упрощает монтаж и позволяет сэкономить пространство. В устройстве отсутствует магнитный жесткий диск, вентилятор или батарейка, поэтому техническое обслуживание ему не требуется.  Лицевая сторона панели имеет класс защиты IP65, что делает панель идеальной для работы в тяжелых промышленных условиях.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Множество интерфейсов</w:t>
      </w:r>
    </w:p>
    <w:p>
      <w:pPr>
        <w:pStyle w:val="par"/>
        <w:ind w:left="0"/>
      </w:pPr>
      <w:r>
        <w:rPr/>
        <w:t xml:space="preserve">Для обеспечения оптимальной производительности Power Panel C50 имеет широкий набор встроенных интерфейсов, в том числе POWERLINK, Ethernet и USB. Модули ввода/вывода, оси и компоненты функциональной безопасности можно подключить непосредственно к панели. Не требуется никаких дополнительных контроллеров.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Преимущества применения mapp View</w:t>
      </w:r>
    </w:p>
    <w:p>
      <w:pPr>
        <w:pStyle w:val="par"/>
        <w:ind w:left="0"/>
      </w:pPr>
      <w:r>
        <w:rPr/>
        <w:t xml:space="preserve">Высокопроизводительная панель Power Panel C50 идеальна для запуска приложений визуализации на базе mapp View. Программный пакет</w:t>
      </w:r>
      <w:r>
        <w:rPr/>
        <w:t>mapp View</w:t>
      </w:r>
      <w:r>
        <w:rPr/>
        <w:t xml:space="preserve"> от B&amp;R открывает возможности создания пользовательского интерфейса на базе веб-технологий из среды разработки. Инженеры по автоматизации получают в свое распоряжение все инструменты, необходимые для создания мощных и интуитивно понятных приложений визуализации. При этом нет необходимости знать HTML5, CSS или программирование на JavaScript. Приложение mapp View полностью соответствует всем веб-стандартам, обеспечивая отображение интерфейса пользователя на любом устройстве. Содержимое нескольких экранов можно настроить для конкретных пользователей или групп.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C50 Power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50 Power Panel"/>
                    <pic:cNvPicPr/>
                  </pic:nvPicPr>
                  <pic:blipFill>
                    <a:blip xmlns:r="http://schemas.openxmlformats.org/officeDocument/2006/relationships" cstate="print" r:embed="N103F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Для обеспечения оптимальной производительности Power Panel C50 имеют широкий набор встроенных интерфейсов, в том числе POWERLINK, Ethernet и USB.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7C" w:type="default"/>
      <w:footerReference xmlns:r="http://schemas.openxmlformats.org/officeDocument/2006/relationships" r:id="N1051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C" Target="header1.xml" Type="http://schemas.openxmlformats.org/officeDocument/2006/relationships/header"/><Relationship Id="N10510" Target="footer1.xml" Type="http://schemas.openxmlformats.org/officeDocument/2006/relationships/footer"/><Relationship Id="N103FB" Target="media/N103F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3" Target="media/N104E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