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Fast and precise motion control</w:t>
      </w:r>
    </w:p>
    <w:p>
      <w:pPr>
        <w:pStyle w:val="label-first"/>
        <w:keepNext/>
        <w:ind w:left="0"/>
      </w:pPr>
      <w:r>
        <w:rPr>
          <w:b/>
          <w:sz w:val="20"/>
        </w:rPr>
        <w:t xml:space="preserve">B&amp;R servo drive controls highly dynamic processes with greater precision</w:t>
      </w:r>
    </w:p>
    <w:p>
      <w:pPr>
        <w:pStyle w:val="par-first"/>
        <w:ind w:left="0"/>
        <w:jc w:val="left"/>
      </w:pPr>
      <w:r>
        <w:rPr>
          <w:i/>
          <w:i/>
        </w:rPr>
        <w:t xml:space="preserve">B&amp;R is giving its ACOPOSmulti multi-axis servo drives a performance boost. They can now achieve cycle times as fast as 50 μs. Highly dynamic processes can now be controlled more precisely than ever.</w:t>
      </w:r>
    </w:p>
    <w:p>
      <w:pPr>
        <w:pStyle w:val="label"/>
        <w:keepNext/>
        <w:ind w:left="0"/>
      </w:pPr>
    </w:p>
    <w:p>
      <w:pPr>
        <w:pStyle w:val="par"/>
        <w:ind w:left="0"/>
      </w:pPr>
      <w:r>
        <w:rPr/>
        <w:t xml:space="preserve">For demanding motion control applications, such as those found in the printing and packaging industries, movements must be controlled very quickly and precisely. The  </w:t>
      </w:r>
      <w:r>
        <w:rPr/>
        <w:t>ACOPOSmulti</w:t>
      </w:r>
      <w:r>
        <w:rPr/>
        <w:t xml:space="preserve">'s short cycle time of 50 µs for current, speed and position control opens up new possibilities for virtual sensor technology.</w:t>
      </w:r>
    </w:p>
    <w:p>
      <w:pPr>
        <w:pStyle w:val="label"/>
        <w:keepNext/>
        <w:ind w:left="0"/>
      </w:pPr>
      <w:r>
        <w:rPr>
          <w:b/>
          <w:sz w:val="20"/>
        </w:rPr>
        <w:t xml:space="preserve">Lag error compensation</w:t>
      </w:r>
    </w:p>
    <w:p>
      <w:pPr>
        <w:pStyle w:val="par"/>
        <w:ind w:left="0"/>
      </w:pPr>
      <w:r>
        <w:rPr/>
        <w:t xml:space="preserve">Using a virtual motor position encoder eliminates the need for an encoder, encoder cable and evaluation unit in the servo drive and at the same time increases availability. Other special functions for more precise control and faster reactions can be implemented using virtual sensor technology. These include model-based control with autotuning and a repetitive control function for predictive lag error compensation.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multi_50 microsec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ulti_50 microsec PR"/>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B&amp;R's ACOPOSmulti multi-axis servo drive now enables even shorter cycle times down to 50 μs.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