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Movimento rapido e preciso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Il servo-azionamento B&amp;R controlla processi altamente dinamici con grande precisione</w:t>
      </w:r>
    </w:p>
    <w:p>
      <w:pPr>
        <w:pStyle w:val="par-first"/>
        <w:ind w:left="0"/>
        <w:jc w:val="left"/>
      </w:pPr>
      <w:r>
        <w:rPr>
          <w:i/>
          <w:i/>
        </w:rPr>
        <w:t xml:space="preserve">Prestazioni da record per i servoazionamenti multi-asse ACOPOSmulti, ora in grado di sostenere tempi di ciclo fino a 50 μs. I processi altamente dinamici possono quindi essere controllati in modo ancora più preciso.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Nelle applicazioni di motion control complesse, come quelle richieste nell'industria della stampa e del packaging, i movimenti devono essere controllati in modo estremamente rapido e preciso.  Con un tempo di ciclo così breve - di 50 µs - per il controllo di corrente, velocità e posizione, </w:t>
      </w:r>
      <w:r>
        <w:rPr/>
        <w:t>ACOPOSmulti</w:t>
      </w:r>
      <w:r>
        <w:rPr/>
        <w:t xml:space="preserve"> apre nuove possibilità per sfruttare la tecnologia dei sensori virtuali.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Compensazione del lag error</w:t>
      </w:r>
    </w:p>
    <w:p>
      <w:pPr>
        <w:pStyle w:val="par"/>
        <w:ind w:left="0"/>
      </w:pPr>
      <w:r>
        <w:rPr/>
        <w:t xml:space="preserve">L'utilizzo di un encoder virtuale di posizione del motore elimina la necessità di avere un encoder fisico, il cavo encoder e l’unità di valutazione sull servoazionamento, e allo stesso tempo ne aumenta la disponibilità.  Utilizzando la tecnologia dei sensori virtuali è possibile implementare funzioni speciali per un controllo più preciso e reazioni più rapide.  Queste includono un controllo basato su modelli con autotuning o la funzione di controllo ripetitivo per la compensazione predittiva del lag error.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multi_50 microsec 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multi_50 microsec PR"/>
                    <pic:cNvPicPr/>
                  </pic:nvPicPr>
                  <pic:blipFill>
                    <a:blip xmlns:r="http://schemas.openxmlformats.org/officeDocument/2006/relationships" cstate="print" r:embed="N103A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Il servoazionamento multi-asse ACOPOSmulti di B&amp;R consente ora di ridurre ulteriormente i tempi di ciclo fino a 50 μs.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25" w:type="default"/>
      <w:footerReference xmlns:r="http://schemas.openxmlformats.org/officeDocument/2006/relationships" r:id="N104B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5" Target="header1.xml" Type="http://schemas.openxmlformats.org/officeDocument/2006/relationships/header"/><Relationship Id="N104B9" Target="footer1.xml" Type="http://schemas.openxmlformats.org/officeDocument/2006/relationships/footer"/><Relationship Id="N103A4" Target="media/N103A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C" Target="media/N1048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