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Mano a mano con los trípodes</w:t>
      </w:r>
    </w:p>
    <w:p>
      <w:pPr>
        <w:pStyle w:val="label-first"/>
        <w:keepNext/>
        <w:ind w:left="0"/>
      </w:pPr>
      <w:r>
        <w:rPr>
          <w:b/>
          <w:sz w:val="20"/>
        </w:rPr>
        <w:t xml:space="preserve">B&amp;R aporta seguridad a los sistemas cinemáticos delta</w:t>
      </w:r>
    </w:p>
    <w:p>
      <w:pPr>
        <w:pStyle w:val="par-first"/>
        <w:ind w:left="0"/>
        <w:jc w:val="left"/>
      </w:pPr>
      <w:r>
        <w:rPr>
          <w:i/>
          <w:i/>
        </w:rPr>
        <w:t xml:space="preserve">B&amp;R ofrece ahora funciones SafeROBOTICS para trípodes que permiten monitorizar de forma segura todo tipo de sistemas cinemáticos delta. Los ejes en serie también pueden incluirse en los cálculos, por ejemplo cuando los trípodes se montan en plataformas móviles.</w:t>
      </w:r>
    </w:p>
    <w:p>
      <w:pPr>
        <w:pStyle w:val="label"/>
        <w:keepNext/>
        <w:ind w:left="0"/>
      </w:pPr>
    </w:p>
    <w:p>
      <w:pPr>
        <w:pStyle w:val="par"/>
        <w:ind w:left="0"/>
      </w:pPr>
      <w:r>
        <w:rPr/>
        <w:t xml:space="preserve">La monitorización segura del robot se implementa mediante las funciones de seguridad "Safely Limited Position" (Posición limitada segura), "Safely Limited Orientation" (Orientación limitada segura), "Safely Limited Joint Position" (Posición conjunta limitada segura) y "Safely Limited Speed" (Velocidad limitada segura). El usuario puede elegir si desea monitorizar el punto central de la herramienta (TCP, por sus siglas en inglés), las juntas individuales o cualquier otro punto en el robot. También es posible monitorizar con seguridad varios puntos con respecto a la velocidad, la orientación y la posición en el espacio. Las funciones SafeROBOTICS se basan en una descripción genérica de la cadena cinemática en la que se definen las propiedades geométricas del robot.</w:t>
      </w:r>
    </w:p>
    <w:p>
      <w:pPr>
        <w:pStyle w:val="label"/>
        <w:keepNext/>
        <w:ind w:left="0"/>
      </w:pPr>
      <w:r>
        <w:rPr>
          <w:b/>
          <w:sz w:val="20"/>
        </w:rPr>
        <w:t xml:space="preserve">Intercambio de herramientas sin reprogramación</w:t>
      </w:r>
    </w:p>
    <w:p>
      <w:pPr>
        <w:pStyle w:val="par"/>
        <w:ind w:left="0"/>
      </w:pPr>
      <w:r>
        <w:rPr/>
        <w:t xml:space="preserve">La aplicación de seguridad puede aislarse de las definiciones geométricas. Esto permite cambiar a otra herramienta con un borde diferente sin tener que tocar la aplicación de seguridad en sí. Así nos ahorramos el lento proceso de recertificación. Todas las funciones de monitorización son de naturaleza predictiva, lo que permite detener los movimientos en el momento adecuado. SafeROBOTICS garantiza que no se invadan los espacios protegidos.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SafeROBO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SafeROBOTICS"/>
                    <pic:cNvPicPr/>
                  </pic:nvPicPr>
                  <pic:blipFill>
                    <a:blip xmlns:r="http://schemas.openxmlformats.org/officeDocument/2006/relationships" cstate="print" r:embed="N10397"/>
                    <a:stretch>
                      <a:fillRect/>
                    </a:stretch>
                  </pic:blipFill>
                  <pic:spPr>
                    <a:xfrm>
                      <a:off x="0" y="0"/>
                      <a:ext cx="3600000" cy="2400750"/>
                    </a:xfrm>
                    <a:prstGeom prst="rect">
                      <a:avLst/>
                    </a:prstGeom>
                  </pic:spPr>
                </pic:pic>
              </a:graphicData>
            </a:graphic>
          </wp:inline>
        </w:drawing>
      </w:r>
    </w:p>
    <w:p>
      <w:pPr>
        <w:pStyle w:val="media-caption"/>
        <w:ind w:left="0"/>
      </w:pPr>
      <w:r>
        <w:t xml:space="preserve">SafeROBOTICS para trípodes ofrece monitorización de seguridad para todo tipo de sistemas cinemáticos delta.</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8" w:type="default"/>
      <w:footerReference xmlns:r="http://schemas.openxmlformats.org/officeDocument/2006/relationships" r:id="N104AC"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F"/>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8" Target="header1.xml" Type="http://schemas.openxmlformats.org/officeDocument/2006/relationships/header"/><Relationship Id="N104AC" Target="footer1.xml" Type="http://schemas.openxmlformats.org/officeDocument/2006/relationships/footer"/><Relationship Id="N10397" Target="media/N10397.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F" Target="media/N1047F.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