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Compacto y de alto rendimiento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Nuevo control compacto de B&amp;R con conmutador integrado</w:t>
      </w:r>
    </w:p>
    <w:p>
      <w:pPr>
        <w:pStyle w:val="par-first"/>
        <w:ind w:left="0"/>
        <w:jc w:val="left"/>
      </w:pPr>
      <w:r>
        <w:rPr>
          <w:i/>
          <w:i/>
        </w:rPr>
        <w:t xml:space="preserve">La última incorporación de B&amp;R a su </w:t>
      </w:r>
      <w:r>
        <w:rPr>
          <w:i/>
          <w:i/>
        </w:rPr>
        <w:t>serie Compact-S</w:t>
      </w:r>
      <w:r>
        <w:rPr>
          <w:i/>
          <w:i/>
        </w:rPr>
        <w:t xml:space="preserve"> es un control compacto con un conmutador integrado. Con un conmutador integrado, permite el cableado de conexión en cadena entre estaciones de la red.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Con un ancho de solo 37,5 mm incluyendo la fuente de alimentación, el X20CP0420 es excepcionalmente compacto. El control consigue reducir los tiempos de ciclo hasta 4 ms, dispone de una RAM de 128 MB y de una memoria flash interna de 256 MB. Equipado con Ethernet, USB y RS232, el control ofrece numerosas opciones de comunicación. También está disponible una interfaz de bus CAN opcional. Sin ventiladores ni baterías, el control compacto tampoco necesita ningún tipo de mantenimiento.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Solución de automatización compacta</w:t>
      </w:r>
    </w:p>
    <w:p>
      <w:pPr>
        <w:pStyle w:val="par"/>
        <w:ind w:left="0"/>
      </w:pPr>
      <w:r>
        <w:rPr/>
        <w:t xml:space="preserve">Los módulos de E/S X20 pueden conectarse directamente al control e integrarse a la perfección. Todo el sistema ahorra mucho espacio en el armario eléctrico. Incluso con sus medidas compactas, el control dispone de una fuente de alimentación integrada para sí mismo y para los módulos de E/S conectados. No es necesario utilizar ningún módulo de alimentación independiente.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CP0420 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CP0420 Pressebild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Con un ancho de solo 37,5 mm incluyendo la fuente de alimentación, el X20CP0420 es excepcionalmente compacto.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2D" w:type="default"/>
      <w:footerReference xmlns:r="http://schemas.openxmlformats.org/officeDocument/2006/relationships" r:id="N104C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D" Target="header1.xml" Type="http://schemas.openxmlformats.org/officeDocument/2006/relationships/header"/><Relationship Id="N104C1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4" Target="media/N1049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