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Automaticon 2019 - dziękujemy za obecność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Kolejna edycja największych targów dla producentów, kompletatorów i odbiorców automatyki przemysłowej dobiegła końca. 26-29 marca nasi inżynierowie chętnie dzielili się swoją wiedzą z gośćmi naszego stoiska.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Wśród prezentowanych nowości nasi eksperci opowiadali o zintegrowanych </w:t>
      </w:r>
      <w:r>
        <w:rPr/>
        <w:t>systemach wizyjnych</w:t>
      </w:r>
      <w:r>
        <w:rPr/>
        <w:t xml:space="preserve"> oraz ich szerokich możliwościach zastosowania. Ponadto nie zabrakło rozwiązań dla automatyki zakładowej, jak system sterowania procesami APROL oraz rozwiązań chmurowych na miarę Przemysłu 4.0, jak </w:t>
      </w:r>
      <w:r>
        <w:rPr/>
        <w:t>Edge Controller</w:t>
      </w:r>
      <w:r>
        <w:rPr/>
        <w:t xml:space="preserve">, umożliwiający właściwy przesył danych.  W naszej ofercie można było także zobaczyć system transportowy </w:t>
      </w:r>
      <w:r>
        <w:rPr/>
        <w:t>ACOPOStrak</w:t>
      </w:r>
      <w:r>
        <w:rPr/>
        <w:t xml:space="preserve">, dla elastycznej produkcji nawet partii jednostkowych. Dużą popularnością wśród gości cieszył się również </w:t>
      </w:r>
      <w:r>
        <w:rPr/>
        <w:t>Orange Box</w:t>
      </w:r>
      <w:r>
        <w:rPr/>
        <w:t xml:space="preserve">. O rozwiązaniu, które umożliwia uzyskanie danych z wcześniej nieobjętych cyfryzacją urządzeń, można było posłuchać dodatkowo podczas warsztatu. Praktyczne przedstawienie rozwiązania, pozwoliło uzyskać wiedzę dedykowaną konkretnie zapotrzebowaniu uczestników warsztatu.  </w:t>
      </w:r>
    </w:p>
    <w:p>
      <w:pPr>
        <w:pStyle w:val="par"/>
        <w:ind w:left="0"/>
      </w:pPr>
      <w:r>
        <w:rPr/>
        <w:t xml:space="preserve">Serdecznie dziękujemy gościom naszego stoiska za przybycie i odbycie tak wielu angażujących rozmów. 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56380"/>
            <wp:effectExtent b="0" l="0" r="0" t="0"/>
            <wp:docPr id="1" name="Automaticon_relcajca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con_relcajca_PL"/>
                    <pic:cNvPicPr/>
                  </pic:nvPicPr>
                  <pic:blipFill>
                    <a:blip xmlns:r="http://schemas.openxmlformats.org/officeDocument/2006/relationships" cstate="print" r:embed="N103A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podczas targów Automaticon 2019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B" Target="media/N103A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