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Praktyczna wiedza dla studentów od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Relacja z cyklu warsztatów z IAESTE Case Week 2019</w:t>
      </w:r>
    </w:p>
    <w:p>
      <w:pPr>
        <w:pStyle w:val="par-first"/>
        <w:ind w:left="0"/>
        <w:jc w:val="left"/>
      </w:pPr>
      <w:r>
        <w:rPr>
          <w:i/>
          <w:i/>
        </w:rPr>
        <w:t xml:space="preserve">Kolejna edycja IAESTE Case Week, największego cyklu warsztatów inżynierskich dobiegła końca. 5-11 kwietnia, na 7 uczelniach w kraju, studenci mogli wziąć udział w warsztatach tematycznych podczas, których nasi inżynierowie prezentowali zagadnienia z zakresu automatyzacji. </w:t>
      </w:r>
    </w:p>
    <w:p>
      <w:pPr>
        <w:pStyle w:val="par"/>
        <w:ind w:left="0"/>
      </w:pPr>
      <w:r>
        <w:rPr/>
        <w:t xml:space="preserve">Każdy z poprowadzonych warsztatów zawierał część teoretyczną, która przybliżała uczestnikom profil firmy oraz pozwoliła uzyskać informacje niezbędne do realizacji kolejnego etapu. W części praktycznej studenci mogli sprawdzić swoje umiejętności w nowoczesnych metodach programowania sterowników PLC. </w:t>
      </w:r>
    </w:p>
    <w:p>
      <w:pPr>
        <w:pStyle w:val="par"/>
        <w:ind w:left="0"/>
      </w:pPr>
      <w:r>
        <w:rPr/>
        <w:t xml:space="preserve">Wśród zadań dla studentów było miedzy innymi zaprogramowanie i zasymulowanie wybranych funkcjonalności maszyny przy wykorzystaniu środowiska programistycznego B&amp;R Automation Studio.  Powierzone zadania pozwoliły wykorzystać jak i poszerzyć wiedzę z zakresu wykorzystania języka Structured Text czy opracowywania algorytmów sterowania sekwencyjnego. Przy realizacji projektów wykorzystywany był również standard B&amp;R mapp Technology, który umożliwia trzykrotne zwiększenie efektywności programisty, w porównaniu do klasycznych rozwiązań.   </w:t>
      </w:r>
    </w:p>
    <w:p>
      <w:pPr>
        <w:pStyle w:val="par"/>
        <w:ind w:left="0"/>
      </w:pPr>
      <w:r>
        <w:rPr/>
        <w:t xml:space="preserve">W trakcie warsztatów na studentów czekały nie tylko wyzwania i burza mózgów, ale również otwarte dyskusje oraz atrakcyjne upominki.  </w:t>
      </w:r>
    </w:p>
    <w:p>
      <w:pPr>
        <w:pStyle w:val="par"/>
        <w:ind w:left="0"/>
      </w:pPr>
      <w:r>
        <w:rPr/>
        <w:t xml:space="preserve">Dziękujemy za udział i zapraszamy już za rok.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42400"/>
            <wp:effectExtent b="0" l="0" r="0" t="0"/>
            <wp:docPr id="1" name="Case Week_Gdań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se Week_Gdańsk"/>
                    <pic:cNvPicPr/>
                  </pic:nvPicPr>
                  <pic:blipFill>
                    <a:blip xmlns:r="http://schemas.openxmlformats.org/officeDocument/2006/relationships" cstate="print" r:embed="N1039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Warsztaty na Politechnice Gdańskiej.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5" w:type="default"/>
      <w:footerReference xmlns:r="http://schemas.openxmlformats.org/officeDocument/2006/relationships" r:id="N104A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5" Target="header1.xml" Type="http://schemas.openxmlformats.org/officeDocument/2006/relationships/header"/><Relationship Id="N104A9" Target="footer1.xml" Type="http://schemas.openxmlformats.org/officeDocument/2006/relationships/footer"/><Relationship Id="N10393" Target="media/N1039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C" Target="media/N1047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