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Segurança é o padrão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motores padrões da B&amp;R agora são ideais para todas as aplicações de segurança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agora está equipando todos os </w:t>
      </w:r>
      <w:r>
        <w:rPr>
          <w:i/>
          <w:i/>
        </w:rPr>
        <w:t>motores padrões</w:t>
      </w:r>
      <w:r>
        <w:rPr>
          <w:i/>
          <w:i/>
        </w:rPr>
        <w:t xml:space="preserve"> com suporte a encoders de segurança. Logo, agora eles podem ser usados em aplicações de segurança sem restrições. Um motor de segurança especial não é mais necessário. Os tempos de entrega e preços dos motores padrões continuam os mesmos. Aplicações de segurança podem ser implementadas em menos tempo e a um custo menor.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Aplicações de segurança costumavam requerir o uso de motores especiais com suporte ao encoder de segurança, A B&amp;R desenvolveu um processo especial, onde um elemento de bloqueio positivo garante que o encoder e eixo do motor não podem deslizar sem ser notado. Isso torna possível a implementação de funções de segurança como Posicionamento Seguro e Localização Segura, para qual o feedback de posicionamento seguro é necessário.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ervoMotors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voMotors_Pressebild"/>
                    <pic:cNvPicPr/>
                  </pic:nvPicPr>
                  <pic:blipFill>
                    <a:blip xmlns:r="http://schemas.openxmlformats.org/officeDocument/2006/relationships" cstate="print" r:embed="N1038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agora está equipando todos os motores padrões com Encoder de segurança.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8" w:type="default"/>
      <w:footerReference xmlns:r="http://schemas.openxmlformats.org/officeDocument/2006/relationships" r:id="N1049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8" Target="header1.xml" Type="http://schemas.openxmlformats.org/officeDocument/2006/relationships/header"/><Relationship Id="N1049C" Target="footer1.xml" Type="http://schemas.openxmlformats.org/officeDocument/2006/relationships/footer"/><Relationship Id="N10387" Target="media/N10387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F" Target="media/N1046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