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Технологии безопасности для сельхозтехники</w:t>
      </w:r>
    </w:p>
    <w:p>
      <w:pPr>
        <w:pStyle w:val="label-first"/>
        <w:keepNext/>
        <w:ind w:left="0"/>
      </w:pPr>
      <w:r>
        <w:rPr>
          <w:b/>
          <w:sz w:val="20"/>
        </w:rPr>
        <w:t xml:space="preserve">Компания B&amp;R представит контроллер Х90 с интегрированной технологией функциональной безопасности на выставке Agritechnica 2019 </w:t>
      </w:r>
    </w:p>
    <w:p>
      <w:pPr>
        <w:pStyle w:val="par-first"/>
        <w:ind w:left="0"/>
        <w:jc w:val="left"/>
      </w:pPr>
      <w:r>
        <w:rPr>
          <w:i/>
          <w:i/>
        </w:rPr>
        <w:t xml:space="preserve">Инженеры B&amp;R пополнили портфель компании новым решением функциональной безопасности для сельскохозяйственной техники. На выставке в Agritechnica 2019 (Германия, Ганновер) компания B&amp;R продемонстрирует контроллер серии Х90 с интегрированной технологией безопасности. Другим важным экспонатом стенда компании B&amp;R (Зал 15 / Стенд H11) станет компактная панель оператора Power Panel T50 mobile, которая отличается высокой надежностью.</w:t>
      </w:r>
    </w:p>
    <w:p>
      <w:pPr>
        <w:pStyle w:val="label"/>
        <w:keepNext/>
        <w:ind w:left="0"/>
      </w:pPr>
    </w:p>
    <w:p>
      <w:pPr>
        <w:pStyle w:val="par"/>
        <w:ind w:left="0"/>
      </w:pPr>
      <w:r>
        <w:rPr/>
        <w:t xml:space="preserve">Имеется вариант контроллера Х90 с интегрированным контроллером безопасности SafeLOGIC.  Для создания приложения функциональной безопасности, пользователю нужно всего лишь соединить готовые программные компоненты на языке РКС (LAD). В результате, все преимущества сетевых технологий безопасности становятся доступны без традиционного программирования, а также значительно легче обеспечить соответствие требованиям Европейской Директивы о безопасности машин и оборудования.</w:t>
      </w:r>
    </w:p>
    <w:p>
      <w:pPr>
        <w:pStyle w:val="label"/>
        <w:keepNext/>
        <w:ind w:left="0"/>
      </w:pPr>
      <w:r>
        <w:rPr>
          <w:b/>
          <w:sz w:val="20"/>
        </w:rPr>
        <w:t xml:space="preserve">Универсальное приложение визуализации</w:t>
      </w:r>
    </w:p>
    <w:p>
      <w:pPr>
        <w:pStyle w:val="par"/>
        <w:ind w:left="0"/>
      </w:pPr>
      <w:r>
        <w:rPr/>
        <w:t xml:space="preserve">Операторская панель Power Panel T50 mobile является универсальным решением для мобильной автоматизации от B&amp;R. Панель обладает уровнем защиты IP67, что гарантирует высокую надежность при эксплуатации сельскохозяйственной техники.  Литой алюминиевый корпус обеспечивает защиту от любых типов механических повреждений.  На сегодня выпущены три модели Power Panel T50 mobile с диагональю экрана в  5", 7" и 10.1".</w:t>
      </w:r>
    </w:p>
    <w:p>
      <w:pPr>
        <w:pStyle w:val="label"/>
        <w:keepNext/>
        <w:ind w:left="0"/>
      </w:pPr>
      <w:r>
        <w:rPr>
          <w:b/>
          <w:sz w:val="20"/>
        </w:rPr>
        <w:t xml:space="preserve">Система управления X90 от B&amp;R для сельскохозяйственной техники</w:t>
      </w:r>
    </w:p>
    <w:p>
      <w:pPr>
        <w:pStyle w:val="par"/>
        <w:ind w:left="0"/>
      </w:pPr>
      <w:r>
        <w:rPr/>
        <w:t xml:space="preserve">Модульная </w:t>
      </w:r>
      <w:r>
        <w:rPr/>
        <w:t>система управления X90</w:t>
      </w:r>
      <w:r>
        <w:rPr/>
        <w:t xml:space="preserve"> была специально спроектирована для создания гибких решений автоматизации с использованием стандартных компонентов. Сердцем системы управления X90 является производительный процессор ARM и многофункциональные каналы ввода/вывода. В стандартной комплектации уже имеются интерфейсы CAN, Ethernet и полевая шина реального времени POWERLINK. Все продукты линейки Х90 разработаны для применения в сложных эксплуатационных условиях. Данная продукция рассчитана на температуры от -40 до +85 °C, а также имеет высокие показали устойчивости к ультрафиолету, маслу, солям, вибрации и ударам.</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_Agritech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_Agritechnica"/>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На выставке Agritechnica 2019 компания B&amp;R продемонстрирует контроллер X90 со встроенной технологией функциональной безопасности для сельскохозяйственной техники. </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