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OPC UA over TSN实施</w:t>
      </w:r>
    </w:p>
    <w:p>
      <w:pPr>
        <w:pStyle w:val="label-first"/>
        <w:keepNext/>
        <w:ind w:left="0"/>
      </w:pPr>
      <w:r>
        <w:rPr>
          <w:b/>
          <w:sz w:val="20"/>
        </w:rPr>
        <w:t xml:space="preserve">贝加莱推出用于融合实时网络的TSN机器交换机</w:t>
      </w:r>
    </w:p>
    <w:p>
      <w:pPr>
        <w:pStyle w:val="par-first"/>
        <w:ind w:left="0"/>
        <w:jc w:val="left"/>
      </w:pPr>
      <w:r>
        <w:rPr>
          <w:i/>
          <w:i/>
        </w:rPr>
        <w:t xml:space="preserve">贝加莱在其产品组合中新增了实时以太网交换机。新的机器交换机可用于通过跨厂商通信解决方案</w:t>
      </w:r>
      <w:r>
        <w:rPr>
          <w:i/>
          <w:i/>
        </w:rPr>
        <w:t>OPC UA over TSN</w:t>
      </w:r>
      <w:r>
        <w:rPr>
          <w:i/>
          <w:i/>
        </w:rPr>
        <w:t xml:space="preserve">来建立网络。其设计和外形与贝加莱产品组合完美匹配，可以节省控制柜内的安装空间。</w:t>
      </w:r>
    </w:p>
    <w:p>
      <w:pPr>
        <w:pStyle w:val="label"/>
        <w:keepNext/>
        <w:ind w:left="0"/>
      </w:pPr>
    </w:p>
    <w:p>
      <w:pPr>
        <w:pStyle w:val="par"/>
        <w:ind w:left="0"/>
      </w:pPr>
      <w:r>
        <w:rPr/>
        <w:t xml:space="preserve">TSN机器交换机的循环时间低于50 µs。它提供四个具有实时功能的TSN端口和一个标准以太网端口 – 例如，用于连接显示器。除了菊花链之外，该交换机还可以实现星型、树型或环型拓扑可能。可以级联多个交换机以达到远程机柜，或实现大型、复杂的实时网络。非TSN节点亦可通过交换机并入网络。现在，实现模块化机器概念比以往变得更快捷。</w:t>
      </w:r>
    </w:p>
    <w:p>
      <w:pPr>
        <w:pStyle w:val="label"/>
        <w:keepNext/>
        <w:ind w:left="0"/>
      </w:pPr>
      <w:r>
        <w:rPr>
          <w:b/>
          <w:sz w:val="20"/>
        </w:rPr>
        <w:t xml:space="preserve">自动配置</w:t>
      </w:r>
    </w:p>
    <w:p>
      <w:pPr>
        <w:pStyle w:val="par"/>
        <w:ind w:left="0"/>
      </w:pPr>
      <w:r>
        <w:rPr/>
        <w:t xml:space="preserve">该交换机完全集成在贝加莱的</w:t>
      </w:r>
      <w:r>
        <w:rPr/>
        <w:t>Automation Studio</w:t>
      </w:r>
      <w:r>
        <w:rPr/>
        <w:t xml:space="preserve">工程环境中。配置自动发生。设备完全支持集中式硬件和软件管理方法。可以离线或在线执行应用程序开发和特定机器的配置。TSN交换机也可以用作非实时网络的常规非托管交换机。无需专门配置。</w:t>
      </w:r>
    </w:p>
    <w:p>
      <w:pPr>
        <w:pStyle w:val="label"/>
        <w:keepNext/>
        <w:ind w:left="0"/>
      </w:pPr>
      <w:r>
        <w:rPr>
          <w:b/>
          <w:sz w:val="20"/>
        </w:rPr>
        <w:t xml:space="preserve">设计紧凑</w:t>
      </w:r>
    </w:p>
    <w:p>
      <w:pPr>
        <w:pStyle w:val="par"/>
        <w:ind w:left="0"/>
      </w:pPr>
      <w:r>
        <w:rPr/>
        <w:t xml:space="preserve">由于TSN机器交换机采用了X20尺寸设计，可安装在X20控制和I/O系统旁边，因此它在控制柜中的占用空间较小。根据电缆出口的不同，交换机可安装在两个不同位置。这样可以将其安装在狭窄的空间中。</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TS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TS Switch"/>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贝加莱正在通过TSN机器交换机扩展其产品组合，该交换机可通过跨厂商的OPC UA over TSN通信对实时网络进行融合。</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