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Terminale operatore per applicazioni di alta gamma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presenta un nuovo Power Panel per applicazioni HMI web-based esigenti</w:t>
      </w:r>
    </w:p>
    <w:p>
      <w:pPr>
        <w:pStyle w:val="par-first"/>
        <w:ind w:left="0"/>
        <w:jc w:val="left"/>
      </w:pPr>
      <w:r>
        <w:rPr>
          <w:i/>
          <w:i/>
        </w:rPr>
        <w:t xml:space="preserve">B&amp;R ha aggiunto il potente terminale operatore T80 ai propri Power Panel serie T. Un processore Intel Atom ad alte prestazioni è in grado di gestire soluzioni HMI web-based versatili e dinamiche. L'elegante schermo in vetro rende i Power Panel il dettaglio di design perfetto per macchine di alta fascia.</w:t>
      </w:r>
    </w:p>
    <w:p>
      <w:pPr>
        <w:pStyle w:val="par"/>
        <w:ind w:left="0"/>
      </w:pPr>
      <w:r>
        <w:rPr/>
        <w:t xml:space="preserve">Lo schermo in vetro ha una protezione dei bordi integrata per durare nel tempo e sopportare l’operatività quotidiana. La ridotta profondità rende i dispositivi perfetti per una installazione a quadro elettrico o su supporto a braccio. Lo schermo capacitivo proiettato multitouch risponde sempre in modo preciso e affidabile, anche se utilizzato con guanti di pelle spessi. I dispositivi sono disponibili con formati del display che vanno da 7 "a 15,6".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Configurazione facile</w:t>
      </w:r>
    </w:p>
    <w:p>
      <w:pPr>
        <w:pStyle w:val="par"/>
        <w:ind w:left="0"/>
      </w:pPr>
      <w:r>
        <w:rPr/>
        <w:t xml:space="preserve">Il Power Panel T80 integra una pagina di assistenza preinstallata che permette una immediata configurazione dell'indirizzo IP, del server DHCP e dello screen saver. Queste impostazioni possono essere facilmente salvate su una chiavetta USB e portate su altri dispositivi Power Panel T80.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Sistema operativo protetto</w:t>
      </w:r>
    </w:p>
    <w:p>
      <w:pPr>
        <w:pStyle w:val="par"/>
        <w:ind w:left="0"/>
      </w:pPr>
      <w:r>
        <w:rPr/>
        <w:t xml:space="preserve">Il sistema operativo Power Panel T80 è protetto contro le modifiche indesiderate apportate da altri programmi applicativi. In runtime i dati delle applicazioni vengono memorizzati esclusivamente nella memoria RAM, volatile. Prestazioni e stabilità del sistema operativo non sono pertanto influenzate dalla frammentazione dei dati, anche dopo anni di funzionamento. Il sistema operativo è inoltre protetto contro le manomissioni.</w:t>
      </w:r>
    </w:p>
    <w:p>
      <w:pPr>
        <w:pStyle w:val="par"/>
        <w:ind w:left="0"/>
      </w:pPr>
      <w:r>
        <w:rPr/>
        <w:t xml:space="preserve">Il T80 completa il portfolio di terminali operatore di B&amp;R. Insieme al T50 e al T30, è ora disponibile una gamma completa e scalabile in termini di costi e prestazioni. I Power Panel sono disponibili anche nelle varianti della serie C con un controller integrato.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T80 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80 PR"/>
                    <pic:cNvPicPr/>
                  </pic:nvPicPr>
                  <pic:blipFill>
                    <a:blip xmlns:r="http://schemas.openxmlformats.org/officeDocument/2006/relationships" cstate="print" r:embed="N103BF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Il potente terminale operatore T80 è particolarmente adatto per complesse applicazioni HMI web-based.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40" w:type="default"/>
      <w:footerReference xmlns:r="http://schemas.openxmlformats.org/officeDocument/2006/relationships" r:id="N104D4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0" Target="header1.xml" Type="http://schemas.openxmlformats.org/officeDocument/2006/relationships/header"/><Relationship Id="N104D4" Target="footer1.xml" Type="http://schemas.openxmlformats.org/officeDocument/2006/relationships/footer"/><Relationship Id="N103BF" Target="media/N103BF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7" Target="media/N104A7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