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Gotowi na nadejście ery pełnej łączności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Targi Hannover Messe: Nowa oferta produktów B&amp;R z protokołem OPC UA over TSN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targach Hannover Messe (hala 9 / stoisko D26) firma B&amp;R jako pierwsza zaprezentuje ofertę produktów automatyki, które porozumiewają się ze sobą za pomocą protokołu OPC UA over TSN. Z nową ofertą, wizja niewymagającej interfejsu komunikacji „od czujnika do chmury” stała się rzeczywistością. Otwarty standard oznacza, że producenci oryginalnych urządzeń nie są już związani z konkretnym dostawcą i korzystają z większej swobody w projektowaniu swoich maszyn. Kolejną prezentowaną nowością będzie oferowana przez B&amp;R pełna integracja robotyki z układem sterowania maszyny.</w:t>
      </w:r>
    </w:p>
    <w:p>
      <w:pPr>
        <w:pStyle w:val="par"/>
        <w:ind w:left="0"/>
      </w:pPr>
      <w:r>
        <w:rPr/>
        <w:t xml:space="preserve">Ujednolicony standard komunikacji OPC UA over TSN pozwala na dowolne łączenie komponentów różnych producentów. Zastąpienie wielu konkurujących ze sobą protokołów komunikacją OPC UA over TSN zapewnia większą łatwość i elastyczność w projektowaniu maszyn. Nowa oferta B&amp;R umożliwia już dziś producentom oryginalnych urządzeń korzystanie z zalet otwartego standardu. Goście na stoisku  B&amp;R mogą wkroczyć w świat OPC UA over TSN i u samego źródła poznać zalety pełnej łączności.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Przechodzimy na nowy standard</w:t>
      </w:r>
    </w:p>
    <w:p>
      <w:pPr>
        <w:pStyle w:val="par"/>
        <w:ind w:left="0"/>
      </w:pPr>
      <w:r>
        <w:rPr/>
        <w:t xml:space="preserve">Oprócz sterowników programowalnych X20, bramek sieciowych, komputerów przemysłowych i komputerów panelowych, oferta produktów OPC UA over TSN firmy B&amp;R obejmuje również switch TSN. Automatyczna konfiguracja switch ’a w Automation Studio pozwala zaoszczędzić czas, dzięki czemu proces konstruowania maszyn jest nie tylko bardziej elastyczny, ale i szybszy.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Robot w samym sercu maszyny</w:t>
      </w:r>
    </w:p>
    <w:p>
      <w:pPr>
        <w:pStyle w:val="par"/>
        <w:ind w:left="0"/>
      </w:pPr>
      <w:r>
        <w:rPr/>
        <w:t xml:space="preserve">Konfigurowanie robotów i ich synchronizacja z resztą maszyny to tradycyjnie złożony, trudny proces. Na targach Hannover Messe firma B&amp;R pokaże, że roboty można teraz równie łatwo wdrażać, jak wszystkie inne komponenty automatyki. Nie ma już potrzeby stosowania wydzielonego sterownika robotyki, dodatkowej szafy sterowniczej czy oddzielnej aplikacji robota.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OPC UC product port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OPC UC product portfolio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nowej ofercie produktów z protokołem OPC UA over TSN, wizja niewymagającej interfejsu komunikacji „od czujnika do chmury” stała się rzeczywistością.  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