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Detailed machine analysis with mapp Cockpit from B&amp;R</w:t>
      </w:r>
    </w:p>
    <w:p>
      <w:pPr>
        <w:pStyle w:val="label-first"/>
        <w:keepNext/>
        <w:ind w:left="0"/>
      </w:pPr>
      <w:r>
        <w:rPr>
          <w:b/>
          <w:sz w:val="20"/>
        </w:rPr>
        <w:t xml:space="preserve">Easy-to-use tool for deployment and diagnostics</w:t>
      </w:r>
    </w:p>
    <w:p>
      <w:pPr>
        <w:pStyle w:val="par-first"/>
        <w:ind w:left="0"/>
        <w:jc w:val="left"/>
      </w:pPr>
      <w:r>
        <w:rPr>
          <w:i/>
          <w:i/>
        </w:rPr>
        <w:t xml:space="preserve">B&amp;R's mapp Cockpit is an advanced yet easy-to-use tool for commissioning and troubleshooting machines. Based on standard web technology and  OPC UA communication, it's ready to use at the push of a button with no additional programming.</w:t>
      </w:r>
    </w:p>
    <w:p>
      <w:pPr>
        <w:pStyle w:val="par"/>
        <w:ind w:left="0"/>
      </w:pPr>
      <w:r>
        <w:rPr/>
        <w:t xml:space="preserve">Information is exchanged between mapp Cockpit and the automation project via the vendor-agnostic </w:t>
      </w:r>
      <w:r>
        <w:rPr/>
        <w:t>OPC UA</w:t>
      </w:r>
      <w:r>
        <w:rPr/>
        <w:t xml:space="preserve"> communication protocol, and displayed in a web-based user interface. As a result, performing diagnostics with mapp Cockpit and a B&amp;R automation system is not just extremely flexible, but also compliant with an established standard. </w:t>
      </w:r>
    </w:p>
    <w:p>
      <w:pPr>
        <w:pStyle w:val="label"/>
        <w:keepNext/>
        <w:ind w:left="0"/>
      </w:pPr>
      <w:r>
        <w:rPr>
          <w:b/>
          <w:sz w:val="20"/>
        </w:rPr>
        <w:t xml:space="preserve">Easy integration in any application </w:t>
      </w:r>
    </w:p>
    <w:p>
      <w:pPr>
        <w:pStyle w:val="par"/>
        <w:ind w:left="0"/>
      </w:pPr>
      <w:r>
        <w:rPr/>
        <w:t xml:space="preserve">Axes and axis groups, for example, can be controlled directly in the clearly organized mapp Cockpit dashboard. The commands for the components – which are otherwise available as function blocks – are easily executed with the simple push of a button. How the components react can then be observed in real time in the Watch window, where all relevant values are displayed in graphic form. You therefore have everything you need without having to install an extra tool.</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ockpit 05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ockpit 05_2020"/>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Since it is based on standard technologies, B&amp;R's mapp Cockpit is easy to integrate into any application.</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