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Secure Remote Maintenance</w:t>
      </w:r>
    </w:p>
    <w:p>
      <w:pPr>
        <w:pStyle w:val="label-first"/>
        <w:keepNext/>
        <w:ind w:left="0"/>
      </w:pP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040"/>
            <wp:effectExtent b="0" l="0" r="0" t="0"/>
            <wp:docPr id="1" name="Fernwar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rnwartung"/>
                    <pic:cNvPicPr/>
                  </pic:nvPicPr>
                  <pic:blipFill>
                    <a:blip xmlns:r="http://schemas.openxmlformats.org/officeDocument/2006/relationships" cstate="print" r:embed="N1033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 only a few simple steps, users are able to connect to a machine and control it as though they were right there on site.</w:t>
      </w:r>
    </w:p>
    <w:bookmarkEnd w:id="3"/>
    <w:bookmarkEnd w:id="2"/>
    <w:p/>
    <w:p/>
    <w:p/>
    <w:p>
      <w:pPr>
        <w:pStyle w:val="label"/>
        <w:keepNext/>
        <w:ind w:left="0"/>
      </w:pPr>
      <w:r>
        <w:rPr>
          <w:b/>
          <w:sz w:val="20"/>
        </w:rPr>
        <w:t xml:space="preserve">"Remote maintenance needn't be complex or costly"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Service your plants and machinery all over the world – from the comfort of your office or on the go? Our remote maintenance expert explains the five easy steps to deploy your own Secure Remote Maintenance solution.</w:t>
      </w:r>
    </w:p>
    <w:p>
      <w:pPr>
        <w:pStyle w:val="par"/>
        <w:ind w:left="0"/>
      </w:pPr>
      <w:r>
        <w:rPr/>
        <w:t xml:space="preserve">"We have created a solution that is remarkably easy to deploy, while at the same time providing the necessary security," says Andreas Hager, remote maintenance specialist at B&amp;R.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"https://www.br-automation.com/en/about-us/press-room/technology-highlights/remote-maintenance-neednt-be-complex-or-costly/?utm_source=LinkedInSalesNavigator&amp;utm_medium=pointdrive&amp;utm_campaign=secureremotemaintenance&amp;utm_content=remoteaccessin5steps"</w:instrText>
      </w:r>
      <w:r>
        <w:fldChar w:fldCharType="separate"/>
      </w:r>
      <w:r>
        <w:rPr/>
        <w:t>to the interview with Andreas Hager</w:t>
      </w:r>
      <w:r>
        <w:fldChar w:fldCharType="end"/>
      </w:r>
    </w:p>
    <w:sectPr>
      <w:headerReference xmlns:r="http://schemas.openxmlformats.org/officeDocument/2006/relationships" r:id="N103E5" w:type="default"/>
      <w:footerReference xmlns:r="http://schemas.openxmlformats.org/officeDocument/2006/relationships" r:id="N1047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5" Target="header1.xml" Type="http://schemas.openxmlformats.org/officeDocument/2006/relationships/header"/><Relationship Id="N10479" Target="footer1.xml" Type="http://schemas.openxmlformats.org/officeDocument/2006/relationships/footer"/><Relationship Id="N10337" Target="media/N1033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C" Target="media/N1044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