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Industri PC: hukommelsen får et turbo boost</w:t>
      </w:r>
    </w:p>
    <w:p>
      <w:pPr>
        <w:pStyle w:val="label-first"/>
        <w:keepNext/>
        <w:ind w:left="0"/>
      </w:pPr>
      <w:r>
        <w:rPr>
          <w:b/>
          <w:sz w:val="20"/>
        </w:rPr>
        <w:t xml:space="preserve">M.2-hukommelse betyder hurtigere adgang og højere kapacitet</w:t>
      </w:r>
    </w:p>
    <w:p>
      <w:pPr>
        <w:pStyle w:val="par-first"/>
        <w:ind w:left="0"/>
        <w:jc w:val="left"/>
      </w:pPr>
      <w:r>
        <w:rPr>
          <w:i/>
          <w:i/>
        </w:rPr>
        <w:t xml:space="preserve">B&amp;R udvider mulighederne for massehukommelse i industri PC'erne Automation PC 3100 og Panel PC 3100. Ud over CFast-kortene er det nu også muligt at bruge M.2-moduler. Den type hukommelse giver hurtig adgang og op til 1 TB lagerkapacitet.</w:t>
      </w:r>
    </w:p>
    <w:p>
      <w:pPr>
        <w:pStyle w:val="par"/>
        <w:ind w:left="0"/>
      </w:pPr>
      <w:r>
        <w:rPr/>
        <w:t xml:space="preserve">M.2-hukommelsesmodulerne er meget kompakte og baseret på MLC-teknologi.  Deres høje kapacitet gør dem især anvendelige til datalogning og andre datakrævende applikationer. Den øgede lagerkapacitet sammenlignet med et CFast-kort, hvilket betyder, at der kan skrives mere data i løbet af levetiden.</w:t>
      </w:r>
    </w:p>
    <w:p>
      <w:pPr>
        <w:pStyle w:val="par"/>
        <w:ind w:left="0"/>
      </w:pPr>
      <w:r>
        <w:rPr/>
        <w:t xml:space="preserve">M.2-hukommelsen monteres i et foruddefineret interface-slot på industri PC'en.  M.2 Solid State Disken kan installeres fra fabrikken eller tilføjes af brugeren på stedet. Sammen med de to CFast-slots kan hver Automation PC nu udstyres med i alt tre lageringsenheder.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APC-3100_Interfacemodul-RAM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APC-3100_Interfacemodul-RAM_"/>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Automation PC 3100 kan nu også udstyres med et M.2-hukommelsesmodul.</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2F" w:type="default"/>
      <w:footerReference xmlns:r="http://schemas.openxmlformats.org/officeDocument/2006/relationships" r:id="N104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F" Target="header1.xml" Type="http://schemas.openxmlformats.org/officeDocument/2006/relationships/header"/><Relationship Id="N104C3"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6" Target="media/N1049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