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Bezpieczniejsze przesyłanie danych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Nowa funkcja APROL zapewnia bezpieczny import i eksport danych inżynieryjnych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stale dodaje nowe funkcje bezpieczeństwa do swojego systemu kontroli procesów APROL. Dzięki nim użytkownicy mogą w najlepszy możliwy sposób chronić swoje projekty przed zagrożeniami cybernetycznymi. Nowa funkcja umożliwia automatyczne szyfrowanie danych inżynieryjnych, zapewniając najwyższy poziom bezpieczeństwa podczas importu i eksportu.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W przypadku większych projektów zadania są często dzielone między członków zespołu rozrzuconych po całym świecie. Aby zagwarantować możliwie najbezpieczniejszą wymianę danych inżynierskich, wszystkie dane konfiguracyjne muszą być chronione za pomocą szyfrowania.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Automatyczne szyfrowanie oszczędza czas</w:t>
      </w:r>
    </w:p>
    <w:p>
      <w:pPr>
        <w:pStyle w:val="par"/>
        <w:ind w:left="0"/>
      </w:pPr>
      <w:r>
        <w:rPr/>
        <w:t xml:space="preserve">Nowa funkcja APROL „Bezpieczeństwo danych w imporcie i eksporcie” pozwala na szyfrowanie danych przy minimalnym wysiłku. Po odbiorze technicznym cały projekt jest przekazywany odpowiedzialnemu archiwiście w sposób, który wyklucza ingerencję osób niepowołanych. Jakakolwiek późniejsza zmiana jest niemożliwa bez znajomości hasła. Użytkownicy nie tylko korzystają z wysokiego poziomu bezpieczeństwa danych, ale oszczędzają mnóstwo czasu, gdyż ręczne szyfrowanie i deszyfrowanie nie jest już konieczne.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5250"/>
            <wp:effectExtent b="0" l="0" r="0" t="0"/>
            <wp:docPr id="1" name="iStock-963458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-963458566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Nowa funkcja systemu kontroli procesów APROL gwarantuje bezpieczną wymianę danych dzięki automatycznemu szyfrowaniu. 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9" w:type="default"/>
      <w:footerReference xmlns:r="http://schemas.openxmlformats.org/officeDocument/2006/relationships" r:id="N104A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9" Target="header1.xml" Type="http://schemas.openxmlformats.org/officeDocument/2006/relationships/header"/><Relationship Id="N104AD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0" Target="media/N1048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